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140"/>
        <w:spacing w:after="0"/>
        <w:rPr>
          <w:sz w:val="20"/>
          <w:szCs w:val="20"/>
          <w:color w:val="auto"/>
        </w:rPr>
      </w:pPr>
      <w:r>
        <w:rPr>
          <w:rFonts w:ascii="Arial" w:cs="Arial" w:eastAsia="Arial" w:hAnsi="Arial"/>
          <w:sz w:val="13"/>
          <w:szCs w:val="13"/>
          <w:b w:val="1"/>
          <w:bCs w:val="1"/>
          <w:color w:val="auto"/>
        </w:rPr>
        <w:t>(Mark One)</w:t>
      </w:r>
    </w:p>
    <w:p>
      <w:pPr>
        <w:spacing w:after="0" w:line="57" w:lineRule="exact"/>
        <w:rPr>
          <w:sz w:val="24"/>
          <w:szCs w:val="24"/>
          <w:color w:val="auto"/>
        </w:rPr>
      </w:pPr>
    </w:p>
    <w:p>
      <w:pPr>
        <w:ind w:left="940" w:hanging="561"/>
        <w:spacing w:after="0"/>
        <w:tabs>
          <w:tab w:leader="none" w:pos="9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940" w:hanging="561"/>
        <w:spacing w:after="0"/>
        <w:tabs>
          <w:tab w:leader="none" w:pos="9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highlight w:val="black"/>
        </w:rPr>
      </w:pPr>
    </w:p>
    <w:p>
      <w:pPr>
        <w:ind w:left="38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transition period from _____ to _____</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001-39896</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PLAYTIKA HOLDING CORP.</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1381" w:right="339" w:bottom="1440" w:gutter="0" w:footer="0" w:header="0"/>
        </w:sectPr>
      </w:pPr>
    </w:p>
    <w:p>
      <w:pPr>
        <w:spacing w:after="0" w:line="273"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81-3634591</w:t>
      </w:r>
    </w:p>
    <w:p>
      <w:pPr>
        <w:spacing w:after="0" w:line="50" w:lineRule="exact"/>
        <w:rPr>
          <w:sz w:val="24"/>
          <w:szCs w:val="24"/>
          <w:color w:val="auto"/>
        </w:rPr>
      </w:pPr>
    </w:p>
    <w:p>
      <w:pPr>
        <w:sectPr>
          <w:pgSz w:w="11900" w:h="16838" w:orient="portrait"/>
          <w:cols w:equalWidth="0" w:num="2">
            <w:col w:w="7380" w:space="720"/>
            <w:col w:w="3140"/>
          </w:cols>
          <w:pgMar w:left="320" w:top="1381" w:right="339" w:bottom="1440" w:gutter="0" w:footer="0" w:header="0"/>
          <w:type w:val="continuous"/>
        </w:sectPr>
      </w:pPr>
    </w:p>
    <w:p>
      <w:pPr>
        <w:jc w:val="center"/>
        <w:ind w:right="1820"/>
        <w:spacing w:after="0"/>
        <w:rPr>
          <w:sz w:val="20"/>
          <w:szCs w:val="20"/>
          <w:color w:val="auto"/>
        </w:rPr>
      </w:pPr>
      <w:r>
        <w:rPr>
          <w:rFonts w:ascii="Arial" w:cs="Arial" w:eastAsia="Arial" w:hAnsi="Arial"/>
          <w:sz w:val="14"/>
          <w:szCs w:val="14"/>
          <w:b w:val="1"/>
          <w:bCs w:val="1"/>
          <w:color w:val="auto"/>
        </w:rPr>
        <w:t>(State of other jurisdiction</w:t>
      </w:r>
    </w:p>
    <w:p>
      <w:pPr>
        <w:spacing w:after="0" w:line="19" w:lineRule="exact"/>
        <w:rPr>
          <w:sz w:val="24"/>
          <w:szCs w:val="24"/>
          <w:color w:val="auto"/>
        </w:rPr>
      </w:pPr>
    </w:p>
    <w:p>
      <w:pPr>
        <w:jc w:val="center"/>
        <w:ind w:right="18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1" w:lineRule="exact"/>
        <w:rPr>
          <w:sz w:val="24"/>
          <w:szCs w:val="24"/>
          <w:color w:val="auto"/>
        </w:rPr>
      </w:pPr>
    </w:p>
    <w:p>
      <w:pPr>
        <w:sectPr>
          <w:pgSz w:w="11900" w:h="16838" w:orient="portrait"/>
          <w:cols w:equalWidth="0" w:num="2">
            <w:col w:w="7240" w:space="720"/>
            <w:col w:w="3280"/>
          </w:cols>
          <w:pgMar w:left="320" w:top="1381"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 Playtika Ltd.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HaChoshlim St 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Herzliya Pituarch, Israel</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972-73-316-3251</w:t>
      </w:r>
    </w:p>
    <w:p>
      <w:pPr>
        <w:sectPr>
          <w:pgSz w:w="11900" w:h="16838" w:orient="portrait"/>
          <w:cols w:equalWidth="0" w:num="1">
            <w:col w:w="11240"/>
          </w:cols>
          <w:pgMar w:left="320" w:top="1381" w:right="339" w:bottom="1440" w:gutter="0" w:footer="0" w:header="0"/>
          <w:type w:val="continuous"/>
        </w:sectPr>
      </w:pP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30" w:type="dxa"/>
        <w:tblCellMar>
          <w:top w:w="0" w:type="dxa"/>
          <w:left w:w="0" w:type="dxa"/>
          <w:bottom w:w="0" w:type="dxa"/>
          <w:right w:w="0" w:type="dxa"/>
        </w:tblCellMar>
      </w:tblPr>
      <w:tr>
        <w:trPr>
          <w:trHeight w:val="201"/>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1"/>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PLTK</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58" w:lineRule="exact"/>
        <w:rPr>
          <w:sz w:val="24"/>
          <w:szCs w:val="24"/>
          <w:color w:val="auto"/>
        </w:rPr>
      </w:pPr>
    </w:p>
    <w:p>
      <w:pPr>
        <w:jc w:val="both"/>
        <w:ind w:firstLine="648"/>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5" w:lineRule="exact"/>
        <w:rPr>
          <w:sz w:val="24"/>
          <w:szCs w:val="24"/>
          <w:color w:val="auto"/>
        </w:rPr>
      </w:pPr>
    </w:p>
    <w:p>
      <w:pPr>
        <w:jc w:val="both"/>
        <w:ind w:firstLine="57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4" w:lineRule="exact"/>
        <w:rPr>
          <w:sz w:val="24"/>
          <w:szCs w:val="24"/>
          <w:color w:val="auto"/>
        </w:rPr>
      </w:pPr>
    </w:p>
    <w:p>
      <w:pPr>
        <w:jc w:val="both"/>
        <w:ind w:firstLine="57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Arial" w:cs="Arial" w:eastAsia="Arial" w:hAnsi="Arial"/>
                <w:sz w:val="16"/>
                <w:szCs w:val="16"/>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7"/>
        </w:trPr>
        <w:tc>
          <w:tcPr>
            <w:tcW w:w="2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Arial" w:cs="Arial" w:eastAsia="Arial" w:hAnsi="Arial"/>
                <w:sz w:val="16"/>
                <w:szCs w:val="16"/>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6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65" w:lineRule="exact"/>
        <w:rPr>
          <w:sz w:val="24"/>
          <w:szCs w:val="24"/>
          <w:color w:val="auto"/>
        </w:rPr>
      </w:pPr>
    </w:p>
    <w:p>
      <w:pPr>
        <w:ind w:firstLine="57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2" w:lineRule="exact"/>
        <w:rPr>
          <w:sz w:val="24"/>
          <w:szCs w:val="24"/>
          <w:color w:val="auto"/>
        </w:rPr>
      </w:pPr>
    </w:p>
    <w:p>
      <w:pPr>
        <w:ind w:left="58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74" w:lineRule="exact"/>
        <w:rPr>
          <w:sz w:val="24"/>
          <w:szCs w:val="24"/>
          <w:color w:val="auto"/>
        </w:rPr>
      </w:pPr>
    </w:p>
    <w:p>
      <w:pPr>
        <w:ind w:left="580"/>
        <w:spacing w:after="0"/>
        <w:rPr>
          <w:sz w:val="20"/>
          <w:szCs w:val="20"/>
          <w:color w:val="auto"/>
        </w:rPr>
      </w:pPr>
      <w:r>
        <w:rPr>
          <w:rFonts w:ascii="Arial" w:cs="Arial" w:eastAsia="Arial" w:hAnsi="Arial"/>
          <w:sz w:val="16"/>
          <w:szCs w:val="16"/>
          <w:color w:val="auto"/>
        </w:rPr>
        <w:t>As of August 3, 2021, the registrant had 409,634,218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PLAYTIKA HOLDING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jc w:val="center"/>
        <w:spacing w:after="0"/>
        <w:rPr>
          <w:sz w:val="20"/>
          <w:szCs w:val="20"/>
          <w:color w:val="auto"/>
        </w:rPr>
      </w:pPr>
      <w:r>
        <w:rPr>
          <w:rFonts w:ascii="Arial" w:cs="Arial" w:eastAsia="Arial" w:hAnsi="Arial"/>
          <w:sz w:val="20"/>
          <w:szCs w:val="20"/>
          <w:b w:val="1"/>
          <w:bCs w:val="1"/>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83"/>
        </w:trPr>
        <w:tc>
          <w:tcPr>
            <w:tcW w:w="17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8380" w:type="dxa"/>
            <w:vAlign w:val="bottom"/>
            <w:gridSpan w:val="22"/>
          </w:tcPr>
          <w:p>
            <w:pPr>
              <w:spacing w:after="0" w:line="18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640" w:type="dxa"/>
            <w:vAlign w:val="bottom"/>
            <w:gridSpan w:val="4"/>
          </w:tcPr>
          <w:p>
            <w:pPr>
              <w:jc w:val="center"/>
              <w:ind w:left="390"/>
              <w:spacing w:after="0" w:line="18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1.</w:t>
            </w:r>
          </w:p>
        </w:tc>
        <w:tc>
          <w:tcPr>
            <w:tcW w:w="3040" w:type="dxa"/>
            <w:vAlign w:val="bottom"/>
            <w:gridSpan w:val="12"/>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FINANCIAL STATEMENTS (Unaudited)</w:t>
              </w:r>
            </w:hyperlink>
          </w:p>
        </w:tc>
        <w:tc>
          <w:tcPr>
            <w:tcW w:w="5340" w:type="dxa"/>
            <w:vAlign w:val="bottom"/>
            <w:gridSpan w:val="10"/>
          </w:tcPr>
          <w:p>
            <w:pPr>
              <w:spacing w:after="0"/>
              <w:rPr>
                <w:sz w:val="18"/>
                <w:szCs w:val="18"/>
                <w:color w:val="auto"/>
              </w:rPr>
            </w:pPr>
          </w:p>
        </w:tc>
        <w:tc>
          <w:tcPr>
            <w:tcW w:w="640" w:type="dxa"/>
            <w:vAlign w:val="bottom"/>
            <w:gridSpan w:val="4"/>
          </w:tcPr>
          <w:p>
            <w:pPr>
              <w:jc w:val="center"/>
              <w:ind w:left="3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 as of June 30, 2021 and December 31, 2020</w:t>
              </w:r>
            </w:hyperlink>
          </w:p>
        </w:tc>
        <w:tc>
          <w:tcPr>
            <w:tcW w:w="640" w:type="dxa"/>
            <w:vAlign w:val="bottom"/>
            <w:gridSpan w:val="4"/>
          </w:tcPr>
          <w:p>
            <w:pPr>
              <w:jc w:val="center"/>
              <w:ind w:left="3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Consolidated Statements of Comprehensive Income (Loss) for the three and six months ended June 30, 2021 and</w:t>
              </w:r>
            </w:hyperlink>
          </w:p>
        </w:tc>
        <w:tc>
          <w:tcPr>
            <w:tcW w:w="640" w:type="dxa"/>
            <w:vAlign w:val="bottom"/>
            <w:gridSpan w:val="4"/>
            <w:vMerge w:val="restart"/>
          </w:tcPr>
          <w:p>
            <w:pPr>
              <w:jc w:val="center"/>
              <w:ind w:left="3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580" w:type="dxa"/>
            <w:vAlign w:val="bottom"/>
            <w:tcBorders>
              <w:top w:val="single" w:sz="8" w:color="0000FF"/>
            </w:tcBorders>
            <w:gridSpan w:val="2"/>
          </w:tcPr>
          <w:p>
            <w:pPr>
              <w:ind w:left="220"/>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2020</w:t>
              </w:r>
            </w:hyperlink>
          </w:p>
        </w:tc>
        <w:tc>
          <w:tcPr>
            <w:tcW w:w="2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7840" w:type="dxa"/>
            <w:vAlign w:val="bottom"/>
            <w:gridSpan w:val="2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Stockholders’ Deficit for the three and six months ended June 30, 2021 and 2020</w:t>
              </w:r>
            </w:hyperlink>
          </w:p>
        </w:tc>
        <w:tc>
          <w:tcPr>
            <w:tcW w:w="540" w:type="dxa"/>
            <w:vAlign w:val="bottom"/>
            <w:gridSpan w:val="2"/>
          </w:tcPr>
          <w:p>
            <w:pPr>
              <w:spacing w:after="0"/>
              <w:rPr>
                <w:sz w:val="18"/>
                <w:szCs w:val="18"/>
                <w:color w:val="auto"/>
              </w:rPr>
            </w:pPr>
          </w:p>
        </w:tc>
        <w:tc>
          <w:tcPr>
            <w:tcW w:w="640" w:type="dxa"/>
            <w:vAlign w:val="bottom"/>
            <w:gridSpan w:val="4"/>
          </w:tcPr>
          <w:p>
            <w:pPr>
              <w:jc w:val="center"/>
              <w:ind w:left="39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784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for the six months ended June 30, 2021 and 2020</w:t>
              </w:r>
            </w:hyperlink>
          </w:p>
        </w:tc>
        <w:tc>
          <w:tcPr>
            <w:tcW w:w="540" w:type="dxa"/>
            <w:vAlign w:val="bottom"/>
            <w:gridSpan w:val="2"/>
          </w:tcPr>
          <w:p>
            <w:pPr>
              <w:spacing w:after="0"/>
              <w:rPr>
                <w:sz w:val="18"/>
                <w:szCs w:val="18"/>
                <w:color w:val="auto"/>
              </w:rPr>
            </w:pPr>
          </w:p>
        </w:tc>
        <w:tc>
          <w:tcPr>
            <w:tcW w:w="640" w:type="dxa"/>
            <w:vAlign w:val="bottom"/>
            <w:gridSpan w:val="4"/>
          </w:tcPr>
          <w:p>
            <w:pPr>
              <w:jc w:val="center"/>
              <w:ind w:left="39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642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Consolidated Financial Statements</w:t>
              </w:r>
            </w:hyperlink>
          </w:p>
        </w:tc>
        <w:tc>
          <w:tcPr>
            <w:tcW w:w="1960" w:type="dxa"/>
            <w:vAlign w:val="bottom"/>
            <w:gridSpan w:val="4"/>
          </w:tcPr>
          <w:p>
            <w:pPr>
              <w:spacing w:after="0"/>
              <w:rPr>
                <w:sz w:val="18"/>
                <w:szCs w:val="18"/>
                <w:color w:val="auto"/>
              </w:rPr>
            </w:pPr>
          </w:p>
        </w:tc>
        <w:tc>
          <w:tcPr>
            <w:tcW w:w="640" w:type="dxa"/>
            <w:vAlign w:val="bottom"/>
            <w:gridSpan w:val="4"/>
          </w:tcPr>
          <w:p>
            <w:pPr>
              <w:jc w:val="center"/>
              <w:ind w:left="39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2.</w:t>
            </w:r>
          </w:p>
        </w:tc>
        <w:tc>
          <w:tcPr>
            <w:tcW w:w="8380" w:type="dxa"/>
            <w:vAlign w:val="bottom"/>
            <w:gridSpan w:val="2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w:t>
              </w:r>
            </w:hyperlink>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28">
              <w:r>
                <w:rPr>
                  <w:rFonts w:ascii="Arial" w:cs="Arial" w:eastAsia="Arial" w:hAnsi="Arial"/>
                  <w:sz w:val="18"/>
                  <w:szCs w:val="18"/>
                  <w:color w:val="0000FF"/>
                  <w:w w:val="91"/>
                </w:rPr>
                <w:t>OPERATIONS</w:t>
              </w:r>
            </w:hyperlink>
          </w:p>
        </w:tc>
        <w:tc>
          <w:tcPr>
            <w:tcW w:w="6420" w:type="dxa"/>
            <w:vAlign w:val="bottom"/>
            <w:tcBorders>
              <w:top w:val="single" w:sz="8" w:color="0000FF"/>
            </w:tcBorders>
            <w:gridSpan w:val="14"/>
          </w:tcPr>
          <w:p>
            <w:pPr>
              <w:spacing w:after="0"/>
              <w:rPr>
                <w:sz w:val="13"/>
                <w:szCs w:val="13"/>
                <w:color w:val="auto"/>
              </w:rPr>
            </w:pPr>
          </w:p>
        </w:tc>
        <w:tc>
          <w:tcPr>
            <w:tcW w:w="64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3.</w:t>
            </w:r>
          </w:p>
        </w:tc>
        <w:tc>
          <w:tcPr>
            <w:tcW w:w="6120" w:type="dxa"/>
            <w:vAlign w:val="bottom"/>
            <w:tcBorders>
              <w:bottom w:val="single" w:sz="8" w:color="0000FF"/>
            </w:tcBorders>
            <w:gridSpan w:val="17"/>
          </w:tcPr>
          <w:p>
            <w:pPr>
              <w:spacing w:after="0"/>
              <w:rPr>
                <w:rFonts w:ascii="Arial" w:cs="Arial" w:eastAsia="Arial" w:hAnsi="Arial"/>
                <w:sz w:val="18"/>
                <w:szCs w:val="18"/>
                <w:color w:val="0000FF"/>
                <w:w w:val="97"/>
              </w:rPr>
            </w:pPr>
            <w:hyperlink w:anchor="page37">
              <w:r>
                <w:rPr>
                  <w:rFonts w:ascii="Arial" w:cs="Arial" w:eastAsia="Arial" w:hAnsi="Arial"/>
                  <w:sz w:val="18"/>
                  <w:szCs w:val="18"/>
                  <w:color w:val="0000FF"/>
                  <w:w w:val="97"/>
                </w:rPr>
                <w:t>QUANTITATIVE AND QUALITATIVE DISCLOSURES ABOUT MARKET RISK</w:t>
              </w:r>
            </w:hyperlink>
          </w:p>
        </w:tc>
        <w:tc>
          <w:tcPr>
            <w:tcW w:w="226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4.</w:t>
            </w:r>
          </w:p>
        </w:tc>
        <w:tc>
          <w:tcPr>
            <w:tcW w:w="258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38">
              <w:r>
                <w:rPr>
                  <w:rFonts w:ascii="Arial" w:cs="Arial" w:eastAsia="Arial" w:hAnsi="Arial"/>
                  <w:sz w:val="18"/>
                  <w:szCs w:val="18"/>
                  <w:color w:val="0000FF"/>
                  <w:w w:val="93"/>
                </w:rPr>
                <w:t>CONTROLS AND PROCEDURES</w:t>
              </w:r>
            </w:hyperlink>
          </w:p>
        </w:tc>
        <w:tc>
          <w:tcPr>
            <w:tcW w:w="580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OTHER INFORMATION</w:t>
              </w:r>
            </w:hyperlink>
          </w:p>
        </w:tc>
        <w:tc>
          <w:tcPr>
            <w:tcW w:w="638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1.</w:t>
            </w:r>
          </w:p>
        </w:tc>
        <w:tc>
          <w:tcPr>
            <w:tcW w:w="8380" w:type="dxa"/>
            <w:vAlign w:val="bottom"/>
            <w:gridSpan w:val="2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1A.</w:t>
            </w:r>
          </w:p>
        </w:tc>
        <w:tc>
          <w:tcPr>
            <w:tcW w:w="1840" w:type="dxa"/>
            <w:vAlign w:val="bottom"/>
            <w:tcBorders>
              <w:top w:val="single" w:sz="8" w:color="0000FF"/>
            </w:tcBorders>
            <w:gridSpan w:val="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6540" w:type="dxa"/>
            <w:vAlign w:val="bottom"/>
            <w:gridSpan w:val="16"/>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2.</w:t>
            </w:r>
          </w:p>
        </w:tc>
        <w:tc>
          <w:tcPr>
            <w:tcW w:w="8380" w:type="dxa"/>
            <w:vAlign w:val="bottom"/>
            <w:gridSpan w:val="2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640" w:type="dxa"/>
            <w:vAlign w:val="bottom"/>
            <w:gridSpan w:val="4"/>
          </w:tcPr>
          <w:p>
            <w:pPr>
              <w:jc w:val="center"/>
              <w:ind w:left="3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3.</w:t>
            </w:r>
          </w:p>
        </w:tc>
        <w:tc>
          <w:tcPr>
            <w:tcW w:w="31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DEFAULTS UPON SENIOR SECURITIES</w:t>
              </w:r>
            </w:hyperlink>
          </w:p>
        </w:tc>
        <w:tc>
          <w:tcPr>
            <w:tcW w:w="2880" w:type="dxa"/>
            <w:vAlign w:val="bottom"/>
            <w:tcBorders>
              <w:top w:val="single" w:sz="8" w:color="0000FF"/>
            </w:tcBorders>
            <w:gridSpan w:val="3"/>
          </w:tcPr>
          <w:p>
            <w:pPr>
              <w:spacing w:after="0"/>
              <w:rPr>
                <w:sz w:val="18"/>
                <w:szCs w:val="18"/>
                <w:color w:val="auto"/>
              </w:rPr>
            </w:pPr>
          </w:p>
        </w:tc>
        <w:tc>
          <w:tcPr>
            <w:tcW w:w="234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4.</w:t>
            </w:r>
          </w:p>
        </w:tc>
        <w:tc>
          <w:tcPr>
            <w:tcW w:w="2420" w:type="dxa"/>
            <w:vAlign w:val="bottom"/>
            <w:tcBorders>
              <w:bottom w:val="single" w:sz="8" w:color="0000FF"/>
            </w:tcBorders>
            <w:gridSpan w:val="10"/>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MINE SAFETY DISCLOSURES</w:t>
              </w:r>
            </w:hyperlink>
          </w:p>
        </w:tc>
        <w:tc>
          <w:tcPr>
            <w:tcW w:w="596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5.</w:t>
            </w:r>
          </w:p>
        </w:tc>
        <w:tc>
          <w:tcPr>
            <w:tcW w:w="1860" w:type="dxa"/>
            <w:vAlign w:val="bottom"/>
            <w:tcBorders>
              <w:bottom w:val="single" w:sz="8" w:color="0000FF"/>
            </w:tcBorders>
            <w:gridSpan w:val="7"/>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OTHER INFORMATION</w:t>
              </w:r>
            </w:hyperlink>
          </w:p>
        </w:tc>
        <w:tc>
          <w:tcPr>
            <w:tcW w:w="6520" w:type="dxa"/>
            <w:vAlign w:val="bottom"/>
            <w:gridSpan w:val="1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6.</w:t>
            </w:r>
          </w:p>
        </w:tc>
        <w:tc>
          <w:tcPr>
            <w:tcW w:w="8380" w:type="dxa"/>
            <w:vAlign w:val="bottom"/>
            <w:gridSpan w:val="2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640" w:type="dxa"/>
            <w:vAlign w:val="bottom"/>
            <w:gridSpan w:val="4"/>
          </w:tcPr>
          <w:p>
            <w:pPr>
              <w:jc w:val="center"/>
              <w:ind w:left="3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SIGNATURES</w:t>
            </w:r>
          </w:p>
        </w:tc>
        <w:tc>
          <w:tcPr>
            <w:tcW w:w="22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5"/>
        </w:trPr>
        <w:tc>
          <w:tcPr>
            <w:tcW w:w="1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 w:name="page3"/>
    <w:bookmarkEnd w:id="2"/>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ABOUT FORWARD LOOKING STATEMENTS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contains or may contain forward-looking statements within the meaning of the Private Securities Litigation Reform Act of 1995 and Section 21E of the Exchange Act. All statements other than statements of historical facts contained in this quarterly report, including statements regarding our business strategy, plans and our objectives for future operations, are forward-looking statements. Further, statements that include words such as “anticipate,” “believe,” “continue,” “could,” “estimate,” “expect,” “intend,” “may,” “might,” “present,” “preserve,” “project,” “pursue,” “will,” or “would,” or the negative of these words or other words or expressions of similar meaning may identify forward-looking statements.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important factors discussed in Part I, Item 1A, “Risk Factors” in our Annual Report on Form 10-K filed with the Securities and Exchange Commission (the “SEC”) on February 26, 2021.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Quarterly Report on Form 10-Q may not occur and actual results could differ materially and adversely from those anticipated, predicted or implied in the forward-looking statements.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estimates or projections contained in the forward-looking statements include without limitation:</w:t>
      </w:r>
    </w:p>
    <w:p>
      <w:pPr>
        <w:spacing w:after="0" w:line="197" w:lineRule="exact"/>
        <w:rPr>
          <w:sz w:val="20"/>
          <w:szCs w:val="20"/>
          <w:color w:val="auto"/>
        </w:rPr>
      </w:pPr>
    </w:p>
    <w:p>
      <w:pPr>
        <w:ind w:left="1300" w:hanging="563"/>
        <w:spacing w:after="0" w:line="258"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such as the iOS App Store, Facebook, and Google Play Store, to distribute our games and collect revenues, and the risk that such platforms may adversely change their policies;</w:t>
      </w:r>
    </w:p>
    <w:p>
      <w:pPr>
        <w:spacing w:after="0" w:line="1"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games to generate the majority of our revenue;</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small percentage of total users to generate a majority of our revenue;</w:t>
      </w:r>
    </w:p>
    <w:p>
      <w:pPr>
        <w:spacing w:after="0" w:line="9" w:lineRule="exact"/>
        <w:rPr>
          <w:rFonts w:ascii="Arial" w:cs="Arial" w:eastAsia="Arial" w:hAnsi="Arial"/>
          <w:sz w:val="18"/>
          <w:szCs w:val="18"/>
          <w:color w:val="auto"/>
        </w:rPr>
      </w:pPr>
    </w:p>
    <w:p>
      <w:pPr>
        <w:ind w:left="130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free-to-play business model, and the value of virtual items sold in our games, is highly dependent on how we manage the game revenues and pricing models;</w:t>
      </w:r>
    </w:p>
    <w:p>
      <w:pPr>
        <w:ind w:left="1300" w:right="2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complete acquisitions and integrate any acquired businesses successfully could limit our growth or disrupt our plans and operations;</w:t>
      </w: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develop new games;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industry with low barriers to entry;</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indebtedness and are subject to the obligations and restrictive covenants under our debt instruments;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the economy as a whole;</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controlled company status;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or regulatory restrictions or proceedings could adversely impact our business and limit the growth of our operations;</w:t>
      </w:r>
    </w:p>
    <w:p>
      <w:pPr>
        <w:spacing w:after="0" w:line="9" w:lineRule="exact"/>
        <w:rPr>
          <w:rFonts w:ascii="Arial" w:cs="Arial" w:eastAsia="Arial" w:hAnsi="Arial"/>
          <w:sz w:val="18"/>
          <w:szCs w:val="18"/>
          <w:color w:val="auto"/>
        </w:rPr>
      </w:pPr>
    </w:p>
    <w:p>
      <w:pPr>
        <w:ind w:left="130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international operations and ownership, including our significant operations in Israel and Belarus and the fact that our controlling stockholder is a Chinese-owned company;</w:t>
      </w: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breaches or other disruptions could compromise our information or our players’ information and expose us to liability; and</w:t>
      </w:r>
    </w:p>
    <w:p>
      <w:pPr>
        <w:spacing w:after="0" w:line="20" w:lineRule="exact"/>
        <w:rPr>
          <w:rFonts w:ascii="Arial" w:cs="Arial" w:eastAsia="Arial" w:hAnsi="Arial"/>
          <w:sz w:val="17"/>
          <w:szCs w:val="17"/>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proprietary information could adversely impact our business.</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 factors that may cause future events and actual results, financial or otherwise, to differ, potentially materially, from those discussed in or implied by the forward-looking statements include the risks and uncertainties discussed in the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sections entitled “Risk Factors” and “Management’s Discussion and Analysis of Financial Condition and Results of Operations” in this Quarterly Report on Form 10-Q and our Annual Report of Form 10-K filed with the SEC on February 26, 2021.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required by law, we undertake no obligation to update any forward-looking statements for any reason to conform these statements to actual results or to changes in 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000" w:type="dxa"/>
            <w:vAlign w:val="bottom"/>
            <w:gridSpan w:val="3"/>
          </w:tcPr>
          <w:p>
            <w:pPr>
              <w:jc w:val="center"/>
              <w:ind w:right="6400"/>
              <w:spacing w:after="0"/>
              <w:rPr>
                <w:sz w:val="20"/>
                <w:szCs w:val="20"/>
                <w:color w:val="auto"/>
              </w:rPr>
            </w:pPr>
            <w:r>
              <w:rPr>
                <w:rFonts w:ascii="Arial" w:cs="Arial" w:eastAsia="Arial" w:hAnsi="Arial"/>
                <w:sz w:val="18"/>
                <w:szCs w:val="18"/>
                <w:b w:val="1"/>
                <w:bCs w:val="1"/>
                <w:color w:val="auto"/>
              </w:rPr>
              <w:t>FINANCIAL INFORMATION</w:t>
            </w:r>
          </w:p>
        </w:tc>
        <w:tc>
          <w:tcPr>
            <w:tcW w:w="146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000" w:type="dxa"/>
            <w:vAlign w:val="bottom"/>
            <w:gridSpan w:val="3"/>
          </w:tcPr>
          <w:p>
            <w:pPr>
              <w:jc w:val="center"/>
              <w:ind w:right="6440"/>
              <w:spacing w:after="0"/>
              <w:rPr>
                <w:sz w:val="20"/>
                <w:szCs w:val="20"/>
                <w:color w:val="auto"/>
              </w:rPr>
            </w:pPr>
            <w:r>
              <w:rPr>
                <w:rFonts w:ascii="Arial" w:cs="Arial" w:eastAsia="Arial" w:hAnsi="Arial"/>
                <w:sz w:val="18"/>
                <w:szCs w:val="18"/>
                <w:b w:val="1"/>
                <w:bCs w:val="1"/>
                <w:color w:val="auto"/>
              </w:rPr>
              <w:t>FINANCIAL STATEMENTS</w:t>
            </w:r>
          </w:p>
        </w:tc>
        <w:tc>
          <w:tcPr>
            <w:tcW w:w="146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9000" w:type="dxa"/>
            <w:vAlign w:val="bottom"/>
            <w:gridSpan w:val="3"/>
          </w:tcPr>
          <w:p>
            <w:pPr>
              <w:jc w:val="center"/>
              <w:ind w:left="632"/>
              <w:spacing w:after="0"/>
              <w:rPr>
                <w:sz w:val="20"/>
                <w:szCs w:val="20"/>
                <w:color w:val="auto"/>
              </w:rPr>
            </w:pPr>
            <w:r>
              <w:rPr>
                <w:rFonts w:ascii="Arial" w:cs="Arial" w:eastAsia="Arial" w:hAnsi="Arial"/>
                <w:sz w:val="18"/>
                <w:szCs w:val="18"/>
                <w:b w:val="1"/>
                <w:bCs w:val="1"/>
                <w:color w:val="auto"/>
                <w:w w:val="99"/>
              </w:rPr>
              <w:t>CONSOLIDATED BALANCE SHEETS</w:t>
            </w:r>
          </w:p>
        </w:tc>
        <w:tc>
          <w:tcPr>
            <w:tcW w:w="146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9000" w:type="dxa"/>
            <w:vAlign w:val="bottom"/>
            <w:gridSpan w:val="3"/>
          </w:tcPr>
          <w:p>
            <w:pPr>
              <w:jc w:val="center"/>
              <w:ind w:left="632"/>
              <w:spacing w:after="0"/>
              <w:rPr>
                <w:sz w:val="20"/>
                <w:szCs w:val="20"/>
                <w:color w:val="auto"/>
              </w:rPr>
            </w:pPr>
            <w:r>
              <w:rPr>
                <w:rFonts w:ascii="Arial" w:cs="Arial" w:eastAsia="Arial" w:hAnsi="Arial"/>
                <w:sz w:val="18"/>
                <w:szCs w:val="18"/>
                <w:b w:val="1"/>
                <w:bCs w:val="1"/>
                <w:color w:val="auto"/>
                <w:w w:val="91"/>
              </w:rPr>
              <w:t>(In millions, except for per share data)</w:t>
            </w:r>
          </w:p>
        </w:tc>
        <w:tc>
          <w:tcPr>
            <w:tcW w:w="1460" w:type="dxa"/>
            <w:vAlign w:val="bottom"/>
          </w:tcPr>
          <w:p>
            <w:pPr>
              <w:spacing w:after="0"/>
              <w:rPr>
                <w:sz w:val="20"/>
                <w:szCs w:val="20"/>
                <w:color w:val="auto"/>
              </w:rPr>
            </w:pPr>
          </w:p>
        </w:tc>
      </w:tr>
      <w:tr>
        <w:trPr>
          <w:trHeight w:val="189"/>
        </w:trPr>
        <w:tc>
          <w:tcPr>
            <w:tcW w:w="76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June 30,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60" w:type="dxa"/>
            <w:vAlign w:val="bottom"/>
          </w:tcPr>
          <w:p>
            <w:pPr>
              <w:spacing w:after="0"/>
              <w:rPr>
                <w:sz w:val="18"/>
                <w:szCs w:val="18"/>
                <w:color w:val="auto"/>
              </w:rPr>
            </w:pPr>
          </w:p>
        </w:tc>
        <w:tc>
          <w:tcPr>
            <w:tcW w:w="8920" w:type="dxa"/>
            <w:vAlign w:val="bottom"/>
            <w:gridSpan w:val="2"/>
          </w:tcPr>
          <w:p>
            <w:pPr>
              <w:jc w:val="center"/>
              <w:ind w:left="7352"/>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9"/>
        </w:trPr>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46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bl>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p>
      <w:pPr>
        <w:spacing w:after="0" w:line="5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and cash equivalents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bank deposits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Restricted cash</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receivable</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Prepaid expenses and other current assets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Total current assets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right-of-use assets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other than goodwill, net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assets, net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1,179.7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169.5</w:t>
            </w:r>
          </w:p>
        </w:tc>
        <w:tc>
          <w:tcPr>
            <w:tcW w:w="180" w:type="dxa"/>
            <w:vAlign w:val="bottom"/>
          </w:tcPr>
          <w:p>
            <w:pPr>
              <w:spacing w:after="0"/>
              <w:rPr>
                <w:sz w:val="19"/>
                <w:szCs w:val="19"/>
                <w:color w:val="auto"/>
              </w:rPr>
            </w:pPr>
          </w:p>
        </w:tc>
      </w:tr>
      <w:tr>
        <w:trPr>
          <w:trHeight w:val="232"/>
        </w:trPr>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w:t>
            </w:r>
          </w:p>
        </w:tc>
        <w:tc>
          <w:tcPr>
            <w:tcW w:w="180" w:type="dxa"/>
            <w:vAlign w:val="bottom"/>
          </w:tcPr>
          <w:p>
            <w:pPr>
              <w:spacing w:after="0"/>
              <w:rPr>
                <w:sz w:val="20"/>
                <w:szCs w:val="20"/>
                <w:color w:val="auto"/>
              </w:rPr>
            </w:pPr>
          </w:p>
        </w:tc>
      </w:tr>
      <w:tr>
        <w:trPr>
          <w:trHeight w:val="207"/>
        </w:trPr>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1,514.0</w:t>
            </w:r>
          </w:p>
        </w:tc>
        <w:tc>
          <w:tcPr>
            <w:tcW w:w="180" w:type="dxa"/>
            <w:vAlign w:val="bottom"/>
          </w:tcPr>
          <w:p>
            <w:pPr>
              <w:spacing w:after="0"/>
              <w:rPr>
                <w:sz w:val="17"/>
                <w:szCs w:val="17"/>
                <w:color w:val="auto"/>
              </w:rPr>
            </w:pPr>
          </w:p>
        </w:tc>
      </w:tr>
      <w:tr>
        <w:trPr>
          <w:trHeight w:val="230"/>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98.1</w:t>
            </w:r>
          </w:p>
        </w:tc>
        <w:tc>
          <w:tcPr>
            <w:tcW w:w="1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84.5</w:t>
            </w:r>
          </w:p>
        </w:tc>
        <w:tc>
          <w:tcPr>
            <w:tcW w:w="18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309.7</w:t>
            </w:r>
          </w:p>
        </w:tc>
        <w:tc>
          <w:tcPr>
            <w:tcW w:w="1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481.0</w:t>
            </w:r>
          </w:p>
        </w:tc>
        <w:tc>
          <w:tcPr>
            <w:tcW w:w="1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9"/>
                <w:szCs w:val="19"/>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9"/>
                <w:szCs w:val="19"/>
                <w:color w:val="auto"/>
              </w:rPr>
            </w:pPr>
          </w:p>
        </w:tc>
      </w:tr>
      <w:tr>
        <w:trPr>
          <w:trHeight w:val="226"/>
        </w:trPr>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-5205095</wp:posOffset>
            </wp:positionH>
            <wp:positionV relativeFrom="paragraph">
              <wp:posOffset>-1791335</wp:posOffset>
            </wp:positionV>
            <wp:extent cx="711517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-1499870</wp:posOffset>
            </wp:positionV>
            <wp:extent cx="711517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-916305</wp:posOffset>
            </wp:positionV>
            <wp:extent cx="711517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-625475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-334010</wp:posOffset>
            </wp:positionV>
            <wp:extent cx="711517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-16510</wp:posOffset>
            </wp:positionV>
            <wp:extent cx="71151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-1207770</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520.1</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129.3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101.6</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754.5</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98.5</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73.4</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327.7</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484.8</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28.5</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26670</wp:posOffset>
            </wp:positionV>
            <wp:extent cx="9258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1,776.2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41275</wp:posOffset>
            </wp:positionV>
            <wp:extent cx="9258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3">
            <w:col w:w="7500" w:space="720"/>
            <w:col w:w="1740" w:space="720"/>
            <w:col w:w="540"/>
          </w:cols>
          <w:pgMar w:left="320" w:top="1093" w:right="359" w:bottom="1440" w:gutter="0" w:footer="0" w:header="0"/>
          <w:type w:val="continuous"/>
        </w:sectPr>
      </w:pP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1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6"/>
                <w:szCs w:val="16"/>
                <w:color w:val="auto"/>
              </w:rPr>
              <w:t>Current maturities of long-term debt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1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42.9</w:t>
            </w:r>
          </w:p>
        </w:tc>
        <w:tc>
          <w:tcPr>
            <w:tcW w:w="180" w:type="dxa"/>
            <w:vAlign w:val="bottom"/>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455.8</w:t>
            </w:r>
          </w:p>
        </w:tc>
        <w:tc>
          <w:tcPr>
            <w:tcW w:w="180" w:type="dxa"/>
            <w:vAlign w:val="bottom"/>
          </w:tcPr>
          <w:p>
            <w:pPr>
              <w:spacing w:after="0"/>
              <w:rPr>
                <w:sz w:val="19"/>
                <w:szCs w:val="19"/>
                <w:color w:val="auto"/>
              </w:rPr>
            </w:pPr>
          </w:p>
        </w:tc>
      </w:tr>
      <w:tr>
        <w:trPr>
          <w:trHeight w:val="210"/>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529.1</w:t>
            </w:r>
          </w:p>
        </w:tc>
        <w:tc>
          <w:tcPr>
            <w:tcW w:w="180" w:type="dxa"/>
            <w:vAlign w:val="bottom"/>
          </w:tcPr>
          <w:p>
            <w:pPr>
              <w:spacing w:after="0"/>
              <w:rPr>
                <w:sz w:val="18"/>
                <w:szCs w:val="18"/>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Long-term debt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2,428.5</w:t>
            </w:r>
          </w:p>
        </w:tc>
        <w:tc>
          <w:tcPr>
            <w:tcW w:w="180" w:type="dxa"/>
            <w:vAlign w:val="bottom"/>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Employee related benefits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Pr>
          <w:p>
            <w:pPr>
              <w:spacing w:after="0"/>
              <w:rPr>
                <w:sz w:val="19"/>
                <w:szCs w:val="19"/>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6"/>
                <w:szCs w:val="16"/>
                <w:color w:val="auto"/>
              </w:rPr>
              <w:t>Operating lease liabilities, long-term</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74.6</w:t>
            </w:r>
          </w:p>
        </w:tc>
        <w:tc>
          <w:tcPr>
            <w:tcW w:w="180" w:type="dxa"/>
            <w:vAlign w:val="bottom"/>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80" w:type="dxa"/>
            <w:vAlign w:val="bottom"/>
          </w:tcPr>
          <w:p>
            <w:pPr>
              <w:spacing w:after="0"/>
              <w:rPr>
                <w:sz w:val="19"/>
                <w:szCs w:val="19"/>
                <w:color w:val="auto"/>
              </w:rPr>
            </w:pPr>
          </w:p>
        </w:tc>
      </w:tr>
      <w:tr>
        <w:trPr>
          <w:trHeight w:val="210"/>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3,128.5</w:t>
            </w:r>
          </w:p>
        </w:tc>
        <w:tc>
          <w:tcPr>
            <w:tcW w:w="180" w:type="dxa"/>
            <w:vAlign w:val="bottom"/>
          </w:tcPr>
          <w:p>
            <w:pPr>
              <w:spacing w:after="0"/>
              <w:rPr>
                <w:sz w:val="18"/>
                <w:szCs w:val="18"/>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10)</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8180" w:type="dxa"/>
            <w:vAlign w:val="bottom"/>
          </w:tcPr>
          <w:p>
            <w:pPr>
              <w:ind w:left="240"/>
              <w:spacing w:after="0"/>
              <w:rPr>
                <w:sz w:val="20"/>
                <w:szCs w:val="20"/>
                <w:color w:val="auto"/>
              </w:rPr>
            </w:pPr>
            <w:r>
              <w:rPr>
                <w:rFonts w:ascii="Arial" w:cs="Arial" w:eastAsia="Arial" w:hAnsi="Arial"/>
                <w:sz w:val="16"/>
                <w:szCs w:val="16"/>
                <w:color w:val="auto"/>
                <w:w w:val="95"/>
              </w:rPr>
              <w:t>Common stock of US $0.01 par value; 1,600.0 shares authorized and 409.6 issued and outstanding at June 30, 2021;</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9"/>
        </w:trPr>
        <w:tc>
          <w:tcPr>
            <w:tcW w:w="8180" w:type="dxa"/>
            <w:vAlign w:val="bottom"/>
          </w:tcPr>
          <w:p>
            <w:pPr>
              <w:ind w:left="400"/>
              <w:spacing w:after="0" w:line="230" w:lineRule="exact"/>
              <w:rPr>
                <w:sz w:val="20"/>
                <w:szCs w:val="20"/>
                <w:color w:val="auto"/>
              </w:rPr>
            </w:pPr>
            <w:r>
              <w:rPr>
                <w:rFonts w:ascii="Arial" w:cs="Arial" w:eastAsia="Arial" w:hAnsi="Arial"/>
                <w:sz w:val="16"/>
                <w:szCs w:val="16"/>
                <w:color w:val="auto"/>
              </w:rPr>
              <w:t>400.0 shares authorized and 391.1 shares issued and outstanding at December 31, 2020</w:t>
            </w:r>
            <w:r>
              <w:rPr>
                <w:rFonts w:ascii="Arial" w:cs="Arial" w:eastAsia="Arial" w:hAnsi="Arial"/>
                <w:sz w:val="21"/>
                <w:szCs w:val="21"/>
                <w:color w:val="auto"/>
                <w:vertAlign w:val="superscript"/>
              </w:rPr>
              <w:t>(1)</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9"/>
                <w:szCs w:val="19"/>
                <w:color w:val="auto"/>
              </w:rPr>
            </w:pPr>
          </w:p>
        </w:tc>
      </w:tr>
      <w:tr>
        <w:trPr>
          <w:trHeight w:val="220"/>
        </w:trPr>
        <w:tc>
          <w:tcPr>
            <w:tcW w:w="81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979.6</w:t>
            </w:r>
          </w:p>
        </w:tc>
        <w:tc>
          <w:tcPr>
            <w:tcW w:w="180" w:type="dxa"/>
            <w:vAlign w:val="bottom"/>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(1,600.7)</w:t>
            </w: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-2575560</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-2284095</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-1992630</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-1701165</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-1409700</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-835660</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-432435</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-140970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-1118235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104.6</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34.6</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16.4</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484.8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25400</wp:posOffset>
            </wp:positionV>
            <wp:extent cx="925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640.4</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5"/>
          <w:szCs w:val="15"/>
          <w:color w:val="auto"/>
        </w:rPr>
        <w:t>2,209.8</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16.1</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67.0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86.4</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5"/>
          <w:szCs w:val="15"/>
          <w:color w:val="auto"/>
        </w:rPr>
        <w:t>3,019.7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25400</wp:posOffset>
            </wp:positionV>
            <wp:extent cx="9258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3.9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462.3</w:t>
      </w:r>
    </w:p>
    <w:p>
      <w:pPr>
        <w:spacing w:after="0" w:line="4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16.7</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(1,726.4)</w:t>
      </w:r>
    </w:p>
    <w:p>
      <w:pPr>
        <w:spacing w:after="0" w:line="59" w:lineRule="exact"/>
        <w:rPr>
          <w:sz w:val="20"/>
          <w:szCs w:val="20"/>
          <w:color w:val="auto"/>
        </w:rPr>
      </w:pPr>
    </w:p>
    <w:p>
      <w:pPr>
        <w:sectPr>
          <w:pgSz w:w="11900" w:h="16838" w:orient="portrait"/>
          <w:cols w:equalWidth="0" w:num="2">
            <w:col w:w="9880" w:space="720"/>
            <w:col w:w="620"/>
          </w:cols>
          <w:pgMar w:left="320" w:top="1093" w:right="35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8200" w:type="dxa"/>
            <w:vAlign w:val="bottom"/>
            <w:tcBorders>
              <w:bottom w:val="single" w:sz="8" w:color="CCEEFF"/>
            </w:tcBorders>
          </w:tcPr>
          <w:p>
            <w:pPr>
              <w:jc w:val="center"/>
              <w:ind w:right="5319"/>
              <w:spacing w:after="0"/>
              <w:rPr>
                <w:sz w:val="20"/>
                <w:szCs w:val="20"/>
                <w:color w:val="auto"/>
              </w:rPr>
            </w:pPr>
            <w:r>
              <w:rPr>
                <w:rFonts w:ascii="Arial" w:cs="Arial" w:eastAsia="Arial" w:hAnsi="Arial"/>
                <w:sz w:val="16"/>
                <w:szCs w:val="16"/>
                <w:b w:val="1"/>
                <w:bCs w:val="1"/>
                <w:color w:val="auto"/>
                <w:w w:val="91"/>
              </w:rPr>
              <w:t>Total stockholders' deficit</w:t>
            </w: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(609.1)</w:t>
            </w: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(1,243.5)</w:t>
            </w:r>
          </w:p>
        </w:tc>
      </w:tr>
      <w:tr>
        <w:trPr>
          <w:trHeight w:val="234"/>
        </w:trPr>
        <w:tc>
          <w:tcPr>
            <w:tcW w:w="8200" w:type="dxa"/>
            <w:vAlign w:val="bottom"/>
            <w:tcBorders>
              <w:bottom w:val="single" w:sz="8" w:color="CCEEFF"/>
            </w:tcBorders>
            <w:shd w:val="clear" w:color="auto" w:fill="CCEEFF"/>
          </w:tcPr>
          <w:p>
            <w:pPr>
              <w:jc w:val="center"/>
              <w:ind w:right="5319"/>
              <w:spacing w:after="0"/>
              <w:rPr>
                <w:sz w:val="20"/>
                <w:szCs w:val="20"/>
                <w:color w:val="auto"/>
              </w:rPr>
            </w:pPr>
            <w:r>
              <w:rPr>
                <w:rFonts w:ascii="Arial" w:cs="Arial" w:eastAsia="Arial" w:hAnsi="Arial"/>
                <w:sz w:val="16"/>
                <w:szCs w:val="16"/>
                <w:b w:val="1"/>
                <w:bCs w:val="1"/>
                <w:color w:val="auto"/>
                <w:w w:val="90"/>
              </w:rPr>
              <w:t>Total liabilities and stockholders’ deficit</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2,519.4</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5" w:lineRule="exact"/>
        <w:rPr>
          <w:sz w:val="20"/>
          <w:szCs w:val="20"/>
          <w:color w:val="auto"/>
        </w:rPr>
      </w:pPr>
    </w:p>
    <w:p>
      <w:pPr>
        <w:ind w:left="660" w:right="460" w:hanging="652"/>
        <w:spacing w:after="0" w:line="223" w:lineRule="auto"/>
        <w:tabs>
          <w:tab w:leader="none" w:pos="29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 xml:space="preserve">Prior period results have been adjusted to reflect the 400-for-1 stock split effected in January 2021. See Note 7, </w:t>
      </w:r>
      <w:r>
        <w:rPr>
          <w:rFonts w:ascii="Arial" w:cs="Arial" w:eastAsia="Arial" w:hAnsi="Arial"/>
          <w:sz w:val="16"/>
          <w:szCs w:val="16"/>
          <w:i w:val="1"/>
          <w:iCs w:val="1"/>
          <w:color w:val="auto"/>
        </w:rPr>
        <w:t>Equity Transactions and Stock Incentive Plan</w:t>
      </w:r>
      <w:r>
        <w:rPr>
          <w:rFonts w:ascii="Arial" w:cs="Arial" w:eastAsia="Arial" w:hAnsi="Arial"/>
          <w:sz w:val="16"/>
          <w:szCs w:val="16"/>
          <w:color w:val="auto"/>
        </w:rPr>
        <w:t>, for details.</w:t>
      </w:r>
    </w:p>
    <w:p>
      <w:pPr>
        <w:spacing w:after="0" w:line="221"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09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4" w:name="page5"/>
    <w:bookmarkEnd w:id="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3060" w:type="dxa"/>
            <w:vAlign w:val="bottom"/>
            <w:gridSpan w:val="6"/>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costs and expenses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and 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derivatives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other comprehensive income (loss)</w:t>
            </w: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0"/>
              </w:rPr>
              <w:t>Net income (loss) per share attributable to common stockholders,</w:t>
            </w:r>
          </w:p>
        </w:tc>
        <w:tc>
          <w:tcPr>
            <w:tcW w:w="92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basic</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0"/>
              </w:rPr>
              <w:t>Net income (loss) per share attributable to common stockholders,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920" w:type="dxa"/>
            <w:vAlign w:val="bottom"/>
            <w:vMerge w:val="restart"/>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0"/>
                <w:szCs w:val="10"/>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0"/>
                <w:szCs w:val="10"/>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diluted</w:t>
            </w:r>
          </w:p>
        </w:tc>
        <w:tc>
          <w:tcPr>
            <w:tcW w:w="9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Weighted-average shares used in computing net income (loss) per</w:t>
            </w:r>
          </w:p>
        </w:tc>
        <w:tc>
          <w:tcPr>
            <w:tcW w:w="9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409.6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share attributable to common stockholders, basic</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89"/>
              </w:rPr>
              <w:t>Weighted-average shares used in computing net income (loss) per</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3"/>
              </w:rPr>
              <w:t>411.7</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03"/>
        </w:trPr>
        <w:tc>
          <w:tcPr>
            <w:tcW w:w="516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share attributable to common stockholders, diluted</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Share capital</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other</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14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equity (deficit)</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rPr>
              <w:t>Issuance of common stock in the IPO, net of</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 commission and offering costs</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of shares upon vesting of RSUs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(725.8)</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Issuance of shares upon vesting of RSUs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3580" w:type="dxa"/>
            <w:vAlign w:val="bottom"/>
          </w:tcPr>
          <w:p>
            <w:pPr>
              <w:spacing w:after="0"/>
              <w:rPr>
                <w:sz w:val="24"/>
                <w:szCs w:val="24"/>
                <w:color w:val="auto"/>
              </w:rPr>
            </w:pPr>
          </w:p>
        </w:tc>
        <w:tc>
          <w:tcPr>
            <w:tcW w:w="208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Share capital</w:t>
            </w:r>
            <w:r>
              <w:rPr>
                <w:rFonts w:ascii="Arial" w:cs="Arial" w:eastAsia="Arial" w:hAnsi="Arial"/>
                <w:sz w:val="18"/>
                <w:szCs w:val="18"/>
                <w:b w:val="1"/>
                <w:bCs w:val="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other</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14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equity (deficit)</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(1,818.5)</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(1,782.7)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(1,582.0)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of shares upon vesting of RSUs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Shares held for tax withholdings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3.9</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(1,474.7)</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5" w:lineRule="exact"/>
        <w:rPr>
          <w:sz w:val="20"/>
          <w:szCs w:val="20"/>
          <w:color w:val="auto"/>
        </w:rPr>
      </w:pPr>
    </w:p>
    <w:p>
      <w:pPr>
        <w:ind w:left="660" w:right="480" w:hanging="652"/>
        <w:spacing w:after="0" w:line="223" w:lineRule="auto"/>
        <w:tabs>
          <w:tab w:leader="none" w:pos="297"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 xml:space="preserve">Prior period results have been adjusted to reflect the 400-for-1 stock split effected in January 2021. See Note 7, </w:t>
      </w:r>
      <w:r>
        <w:rPr>
          <w:rFonts w:ascii="Arial" w:cs="Arial" w:eastAsia="Arial" w:hAnsi="Arial"/>
          <w:sz w:val="16"/>
          <w:szCs w:val="16"/>
          <w:i w:val="1"/>
          <w:iCs w:val="1"/>
          <w:color w:val="auto"/>
        </w:rPr>
        <w:t>Equity Transactions and Stock Incentive Plan</w:t>
      </w:r>
      <w:r>
        <w:rPr>
          <w:rFonts w:ascii="Arial" w:cs="Arial" w:eastAsia="Arial" w:hAnsi="Arial"/>
          <w:sz w:val="16"/>
          <w:szCs w:val="16"/>
          <w:color w:val="auto"/>
        </w:rPr>
        <w:t>, for details.</w:t>
      </w:r>
    </w:p>
    <w:p>
      <w:pPr>
        <w:spacing w:after="0" w:line="22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Represents an amount less than 0.1 or $0.1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(103.8)</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from operating activities: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Depreciation</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 of intangible assets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260.3</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 of loan discount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Change in deferred tax, net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Loss from foreign currency</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Non-cash lease expenses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Capital gain from sale of investment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Changes in operating assets and liabilities: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Accounts receivable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8220" w:type="dxa"/>
            <w:vAlign w:val="bottom"/>
          </w:tcPr>
          <w:p>
            <w:pPr>
              <w:ind w:left="840"/>
              <w:spacing w:after="0"/>
              <w:rPr>
                <w:sz w:val="20"/>
                <w:szCs w:val="20"/>
                <w:color w:val="auto"/>
              </w:rPr>
            </w:pPr>
            <w:r>
              <w:rPr>
                <w:rFonts w:ascii="Arial" w:cs="Arial" w:eastAsia="Arial" w:hAnsi="Arial"/>
                <w:sz w:val="16"/>
                <w:szCs w:val="16"/>
                <w:color w:val="auto"/>
              </w:rPr>
              <w:t>Prepaid expenses and other current assets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9"/>
        </w:trPr>
        <w:tc>
          <w:tcPr>
            <w:tcW w:w="82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Accounts payable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822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Accrued expenses and other current liabilities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r>
      <w:tr>
        <w:trPr>
          <w:trHeight w:val="212"/>
        </w:trPr>
        <w:tc>
          <w:tcPr>
            <w:tcW w:w="82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property and equipment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Capitalization of internal use software costs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intangible assets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Short-term bank deposits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investing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2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Proceeds from bank borrowings, net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Repayments on bank borrowings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Proceeds from issuance of unsecured notes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issuance of common stock, net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Payment of debt issuance costs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Borrowings under revolving credit facility</w:t>
            </w: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Repayment of term loan and revolving credit facility</w:t>
            </w:r>
          </w:p>
        </w:tc>
        <w:tc>
          <w:tcPr>
            <w:tcW w:w="9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(345.8)</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 of tax withholdings on stock-based payments</w:t>
            </w: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Net cash out flow for business acquisitions and other</w:t>
            </w:r>
          </w:p>
        </w:tc>
        <w:tc>
          <w:tcPr>
            <w:tcW w:w="9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822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provided by (used in) financing activities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0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the beginning of the period</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the end of the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1,182.4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spacing w:after="0" w:line="117"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Non-cash financing and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Lease asset additions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0"/>
        </w:trPr>
        <w:tc>
          <w:tcPr>
            <w:tcW w:w="8220" w:type="dxa"/>
            <w:vAlign w:val="bottom"/>
          </w:tcPr>
          <w:p>
            <w:pPr>
              <w:ind w:left="260"/>
              <w:spacing w:after="0"/>
              <w:rPr>
                <w:sz w:val="20"/>
                <w:szCs w:val="20"/>
                <w:color w:val="auto"/>
              </w:rPr>
            </w:pPr>
            <w:r>
              <w:rPr>
                <w:rFonts w:ascii="Arial" w:cs="Arial" w:eastAsia="Arial" w:hAnsi="Arial"/>
                <w:sz w:val="16"/>
                <w:szCs w:val="16"/>
                <w:color w:val="auto"/>
              </w:rPr>
              <w:t>Accrued debt issuance costs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specified otherwise)</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ORGANIZATION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Playtika Holding Corporation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to drive user engagement and monetization.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are generally accounted for using cost minus impairment, if any, plus or minus changes resulting from observable price changes in orderly transactions for the identical or a similar investment of the same issuer.</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significant accounting policies referenced in the annual consolidated financial statements of the Company as of December 31, 2020 have been applied consistently in these unaudited interim consolidated financial statements. In the opinion of management, all adjustments considered necessary for a fair presentation have been recorded within the accompanying financial statements, consisting of normal, recurring adjustments, and all intercompany balances and transactions have been eliminated in the consolidation. Operating results for the three and six months ended June 30, 2021 are not necessarily indicative of the results that may be expected for the year ending December 31, 2021. For further information, reference is made to the consolidated financial statements and footnotes thereto included in the Company's financial statements for the year ended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revenues and expenses during the reporting period.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estimating fair value of equity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its initial public offering of equity in January 2021, the Company, with the assistance of third-party valuation experts, used a combination of the income approach (the discounted cash flow method) and the market approach (a combination of the guideline public company method and the guideline transaction method) to estimate its equity value in connection with its stock-based compensation program discussed below. The income approach involves applying an appropriate risk-adjusted discount rate to projected cash flows based on forecasted revenue and costs. The guideline public company method estimates the value of a company by applying market multiples of publicly traded companies in the same or similar lines of business to the results and projected results of the company being valued. The guideline transaction method estimates the value of a company by applying valuation multiples paid in actual transactions for comparable public and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valuation of the Company’s equity considers a number of objective and subjective factors that it believes market participants would consider, including</w:t>
      </w:r>
    </w:p>
    <w:p>
      <w:pPr>
        <w:spacing w:after="0" w:line="46" w:lineRule="exact"/>
        <w:rPr>
          <w:sz w:val="20"/>
          <w:szCs w:val="20"/>
          <w:color w:val="auto"/>
        </w:rPr>
      </w:pPr>
    </w:p>
    <w:p>
      <w:pPr>
        <w:jc w:val="both"/>
        <w:ind w:firstLine="8"/>
        <w:spacing w:after="0" w:line="255" w:lineRule="auto"/>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business, financial condition, and results of operations, including related industry trends affecting its operations; (b) its forecasted operating performance and projected future cash flows; (c) the liquid or illiquid nature of its common stock; (d) the rights and privileges of its common stock; (e) market multiples of its most comparable public peers; and (f) market conditions affecting its industry.</w:t>
      </w:r>
    </w:p>
    <w:p>
      <w:pPr>
        <w:spacing w:after="0" w:line="2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the valuation date, financial forecasts were prepared and used in the computation of the estimated fair value of the Company’s equity using both the market and income approaches. The financial forecasts were based on assumed revenue growth rates and operating margin levels that considered past experience and future expectations. The assumed risks associated with achieving these forecasts were assessed in selecting the appropriate cost of capital rates.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values derived under the market and income approaches were used to determine an initial estimated fair market value of the Company’s equity. The initial estimated value was then subjected to a discount for the lack of marketability based on the impediments to liquidity as a result of the Company’s previous status as a private company, including the lack of publicly available information and the lack of a trading market.</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Subsequent to the Company’s initial public offering of equity in January 2021, the Company uses the public trading price of its common stock on the Nasdaq stock exchange as the basis for determining the fair market value for its common stock for purposes of its stock based compensation expense.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inherent uncertainty in the Company’s forecasts and projections, and if different assumptions and estimates had been made than those described previously, the amount of the equity valuation and stock-based compensation expense could have been materially different.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which potentially expose the Company to concentrations of credit risk, consist primarily of cash and cash equivalents, short-term bank deposits, restricted cash, accounts receivable and derivative contracts. A significant percentage of the Company’s cash is maintained with three financial institutions with high credit standings. The Company performs periodic evaluations of the relative credit standing of these institutions.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Apple, Facebook and Google are significant distribution, marketing, promotion and payment platforms for the Company's games. A significant portion of the Company’s revenues has been generated from players who accessed the Company's games through these platforms. Therefore, the Company's accounts receivable are derived mainly from sales through these three platforms. Accounts receivable are recorded at their transaction amounts and do not bear interest. The Company performs ongoing credit evaluations of its customers.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major accounts receivable of the Company as a percentage of the total accounts receivable as of the dates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56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8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25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w:t>
            </w:r>
          </w:p>
        </w:tc>
      </w:tr>
      <w:tr>
        <w:trPr>
          <w:trHeight w:val="250"/>
        </w:trPr>
        <w:tc>
          <w:tcPr>
            <w:tcW w:w="8200" w:type="dxa"/>
            <w:vAlign w:val="bottom"/>
          </w:tcPr>
          <w:p>
            <w:pPr>
              <w:ind w:left="20"/>
              <w:spacing w:after="0"/>
              <w:rPr>
                <w:sz w:val="20"/>
                <w:szCs w:val="20"/>
                <w:color w:val="auto"/>
              </w:rPr>
            </w:pPr>
            <w:r>
              <w:rPr>
                <w:rFonts w:ascii="Arial" w:cs="Arial" w:eastAsia="Arial" w:hAnsi="Arial"/>
                <w:sz w:val="18"/>
                <w:szCs w:val="18"/>
                <w:color w:val="auto"/>
              </w:rPr>
              <w:t>Google</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35%</w:t>
            </w:r>
          </w:p>
        </w:tc>
      </w:tr>
      <w:tr>
        <w:trPr>
          <w:trHeight w:val="26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Facebook</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consist of cash and highly liquid investments with maturities of three months or less from the date of purchase and are stated at the lower of cost or market value. Cash equivalents include investments in money market funds that can be redeemed immediately at the current net asset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primarily consists of deposits to secure obligations under the Company's operating lease agreements and to secure company-issued credit cards.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bank deposits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Bank deposits with maturities of more than three months but less than one year are included in short-term bank deposits. Such short-term bank deposits are stated at cost which approximates market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stock-based compensation program which provides for equity awards including time-based stock options and restricted stock units (“RSUs”). Stock-based compensation expense is measured at the grant date, based on the estimated fair value of the award, and is recognized as expense over the requisite service period for the award. The Company records forfeitures as a reduction of stock-based compensation expense as those forfeitures occur.</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used the Black-Scholes option pricing model to estimate the fair value and compensation cost associated with stock options. As it does not have a history of market prices for its common stock because the stock was not publicly traded prior to January 2021, the Company used observable data for a group of peer companies that grant options with substantially similar terms to assist in developing its pre-IPO volatility assumption. The expected volatility of the stock was determined using weighted average measures of the implied volatility and the historical volatility for the Company’s peer group of companies for a period equal to the expected life of the option. The expected term assumption was derived using the simplified method, which is based on an average between the vesting date and the expiration date of an option. This method was chosen because there was no historical option exercise experience due to the Company being privately held. The weighted-average risk-free interest rate was based on the interest rate for U.S. Treasury bonds. The Company does not anticipate paying cash dividends on its shares of common stock in the future. The stock options have a contractual term of 10 years. Except as provided in an option agreement between the Company and the employee, if an employee is terminated (voluntarily or involuntarily), any unvested awards as of the date of termination will be forfeited.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factors change and the Company employs different assumptions, stock-based compensation cost on future awards may differ significantly from what the Company has recorded in the past. Higher volatility and longer expected terms result in an increase to stock-based compensation determined at the date of grant. Future stock-based compensation cost and unrecognized stock-based compensation will increase to the extent that the Company grants additional equity awards to employees or assumes unvested equity awards in connection with acquisitions. If there are any modifications or cancellations of the underlying unvested securities, the Company may be required to accelerate any remaining unearned stock-based compensation cost or incur incremental cost.</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Company’s stock-based compensation expense is recorded in the financial statement line item relevant to each of the award recipients. See Note 7, </w:t>
      </w:r>
      <w:r>
        <w:rPr>
          <w:rFonts w:ascii="Arial" w:cs="Arial" w:eastAsia="Arial" w:hAnsi="Arial"/>
          <w:sz w:val="18"/>
          <w:szCs w:val="18"/>
          <w:i w:val="1"/>
          <w:iCs w:val="1"/>
          <w:color w:val="auto"/>
        </w:rPr>
        <w:t>Equity Transactions and Stock Incentive Plan</w:t>
      </w:r>
      <w:r>
        <w:rPr>
          <w:rFonts w:ascii="Arial" w:cs="Arial" w:eastAsia="Arial" w:hAnsi="Arial"/>
          <w:sz w:val="18"/>
          <w:szCs w:val="18"/>
          <w:color w:val="auto"/>
        </w:rPr>
        <w:t>, for additional discussion.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related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Appreciation and retention plan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2019, the Company adopted the Playtika Holding Corp. Retention Plan (the “2021-2024 Retention Plan”) in order to retain key employees and reward them for contributing to the success of the Company. Under the 2021-2024 Retention Plan, eligible employees may be granted retention awards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Adjusted EBITDA as described further in Note 12, </w:t>
      </w:r>
      <w:r>
        <w:rPr>
          <w:rFonts w:ascii="Arial" w:cs="Arial" w:eastAsia="Arial" w:hAnsi="Arial"/>
          <w:sz w:val="18"/>
          <w:szCs w:val="18"/>
          <w:i w:val="1"/>
          <w:iCs w:val="1"/>
          <w:color w:val="auto"/>
        </w:rPr>
        <w:t>Appreciation and Retention Plan</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The value of each unit has been amortized into compensation expense using the straight-line method, which will result in the recognition of compensation costs in the same years as the underlying EBITDA used in the plan measurement is earned.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interest rate swap contracts to reduce its exposure to fluctuating interest rates associated with the Company’s variable rate debt, and to effectively increase the portion of debt upon which the Company pays a fixed interest rate. The Company’s interest rate swap agreements are designated as cash flow hedges under ASC 815. These hedges are highly effective in offsetting changes in the Company’s future expected cash flows due to the fluctuation on the one-month LIBOR rate associated with its variable rate debt. Interest rate swap is designated as a cash flow hedge involving the receipt of variable amounts from a counterparty in exchange for the Company making fixed-rate payments over the life of the agreement, without the exchange of the underlying notional amount.</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monitors the effectiveness of its hedges on a quarterly basis, both qualitatively and quantitatively. The Company performed a regression analysis at inception of the hedging relationship and at period end in which it compared the change in the fair value of the swap transaction and the change in fair value of a hypothetical interest rate swap having terms that identically match the terms of the debt's interest rate payments based on 30 observations that are based on historical swap rates. Based on the regression results, the Company believes that, at inception and at period end, the hedging instrument is expected to be highly effective at offsetting changes in the hedged transactions attributable to the risk being hedged. For each future reporting period, the Company will continue performing retrospective and prospective assessments of hedge effectiveness in a single regression analysis by updating the regression analysis that was prepared at inception of the hedging relationship.</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forward contracts to reduce its exposure to fluctuating exchange rates between the United States dollar (as the Company’s functional currency) and the Company’s local payroll expense incurred in Israel and denominated in Israeli Shekels (“ILS”). The Company’s forward contracts are designated as cash flow hedges under ASC 815. As a result of substantially matching the critical terms between its forward contracts and the fluctuating exchange rates the Company expects these hedges to remain highly effective at offsetting fluctuations in exchange rates through their respective maturity dates.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 The fair value approximates the amount the Company would pay if these contracts were settled at the respective valuation dates. The inputs used to measure the fair value of the Company’s interest rate swap agreements are categorized as Level 2 in the fair value hierarchy as established by ASC 820. The inputs used to measure the fair value of the Company’s forward contracts are categorized as Level 2 in the fair value hierarchy as established by ASC 820.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all periods, basic net income (loss) per share is calculated by dividing net income by the weighted-average common shares outstanding. Diluted net income (loss) per share in profitable periods reflects the effect of all potentially dilutive common shares outstanding by dividing net income by the weighted-average of all common and potentially dilutive shares outstanding. In the event of a loss, diluted shares are not considered because of their anti-dilutive effect.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 by the Company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2019, the FASB issued ASU 2019-12, S</w:t>
      </w:r>
      <w:r>
        <w:rPr>
          <w:rFonts w:ascii="Arial" w:cs="Arial" w:eastAsia="Arial" w:hAnsi="Arial"/>
          <w:sz w:val="17"/>
          <w:szCs w:val="17"/>
          <w:i w:val="1"/>
          <w:iCs w:val="1"/>
          <w:color w:val="auto"/>
        </w:rPr>
        <w:t>implifying the Accounting for Income Taxes</w:t>
      </w:r>
      <w:r>
        <w:rPr>
          <w:rFonts w:ascii="Arial" w:cs="Arial" w:eastAsia="Arial" w:hAnsi="Arial"/>
          <w:sz w:val="17"/>
          <w:szCs w:val="17"/>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public business entities for fiscal years beginning after December 15, 2020, and interim periods within those fiscal years. The Company adopted this standard as of January 1, 2021. The adoption of this standard did not have a significant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expedients and exceptions for applying U.S. GAAP to contracts, hedging relationships, and other transactions affected by the discontinuation of LIBOR or by another reference rate expected to be discontinued. The guidance in ASU 2020-04 is optional and may be elected over time as reference rate reform activities occur. During the six months ended June 30, 2021,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continues to evaluate the potential impacts of ASU 2020-04 and may apply other elections as applicable as additional changes in the market occur.</w:t>
      </w: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tab/>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for the six months ended June 30, 2021 were as follows (in millions):</w:t>
      </w:r>
    </w:p>
    <w:p>
      <w:pPr>
        <w:spacing w:after="0" w:line="3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w:t>
      </w:r>
    </w:p>
    <w:p>
      <w:pPr>
        <w:jc w:val="center"/>
        <w:ind w:left="9560"/>
        <w:spacing w:after="0"/>
        <w:rPr>
          <w:sz w:val="20"/>
          <w:szCs w:val="20"/>
          <w:color w:val="auto"/>
        </w:rPr>
      </w:pPr>
      <w:r>
        <w:rPr>
          <w:rFonts w:ascii="Arial" w:cs="Arial" w:eastAsia="Arial" w:hAnsi="Arial"/>
          <w:sz w:val="14"/>
          <w:szCs w:val="14"/>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beginning of period</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Goodwill acquired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translation adjustments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end of period</w:t>
      </w:r>
    </w:p>
    <w:p>
      <w:pPr>
        <w:spacing w:after="0" w:line="3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tab/>
        <w:t>INTANGIBLE ASSETS OTHER THAN GOODWILL, NET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163" w:hanging="1163"/>
        <w:spacing w:after="0"/>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484.8</w:t>
      </w:r>
    </w:p>
    <w:p>
      <w:pPr>
        <w:spacing w:after="0" w:line="23" w:lineRule="exact"/>
        <w:rPr>
          <w:rFonts w:ascii="Arial" w:cs="Arial" w:eastAsia="Arial" w:hAnsi="Arial"/>
          <w:sz w:val="18"/>
          <w:szCs w:val="18"/>
          <w:color w:val="auto"/>
        </w:rPr>
      </w:pPr>
    </w:p>
    <w:p>
      <w:pPr>
        <w:ind w:left="138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541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5" w:lineRule="exact"/>
        <w:rPr>
          <w:sz w:val="20"/>
          <w:szCs w:val="20"/>
          <w:color w:val="auto"/>
        </w:rPr>
      </w:pPr>
    </w:p>
    <w:p>
      <w:pPr>
        <w:ind w:left="1163" w:hanging="1163"/>
        <w:spacing w:after="0"/>
        <w:tabs>
          <w:tab w:leader="none" w:pos="1163" w:val="left"/>
        </w:tabs>
        <w:numPr>
          <w:ilvl w:val="0"/>
          <w:numId w:val="8"/>
        </w:numPr>
        <w:rPr>
          <w:rFonts w:ascii="Arial" w:cs="Arial" w:eastAsia="Arial" w:hAnsi="Arial"/>
          <w:sz w:val="18"/>
          <w:szCs w:val="18"/>
          <w:color w:val="auto"/>
        </w:rPr>
      </w:pPr>
      <w:r>
        <w:rPr>
          <w:rFonts w:ascii="Arial" w:cs="Arial" w:eastAsia="Arial" w:hAnsi="Arial"/>
          <w:sz w:val="18"/>
          <w:szCs w:val="18"/>
          <w:color w:val="auto"/>
        </w:rPr>
        <w:t>481.0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54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054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2">
            <w:col w:w="8877" w:space="720"/>
            <w:col w:w="1643"/>
          </w:cols>
          <w:pgMar w:left="320" w:top="1421" w:right="339" w:bottom="1440" w:gutter="0" w:footer="0" w:header="0"/>
          <w:type w:val="continuous"/>
        </w:sectPr>
      </w:pP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carrying amounts and accumulated amortization expenses of the acquired intangible assets other than goodwill, net, including the impact of foreign currency exchange translation, at June 30, 2021 and December 31, 2020,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100" w:type="dxa"/>
            <w:vAlign w:val="bottom"/>
            <w:gridSpan w:val="5"/>
          </w:tcPr>
          <w:p>
            <w:pPr>
              <w:ind w:left="98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 useful</w:t>
            </w:r>
          </w:p>
        </w:tc>
        <w:tc>
          <w:tcPr>
            <w:tcW w:w="280" w:type="dxa"/>
            <w:vAlign w:val="bottom"/>
          </w:tcPr>
          <w:p>
            <w:pPr>
              <w:spacing w:after="0"/>
              <w:rPr>
                <w:sz w:val="18"/>
                <w:szCs w:val="18"/>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life (in years)</w:t>
            </w:r>
          </w:p>
        </w:tc>
        <w:tc>
          <w:tcPr>
            <w:tcW w:w="2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Historical cost basis</w:t>
            </w: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Developed games and acquired technology</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Trademarks and user base</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Internal use software</w:t>
            </w: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games and acquired technology</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Trademarks and user base</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Internal use software</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Intangible assets other than goodwill, net</w:t>
            </w: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2021 and 2020, the Company recorded amortization expense in the amounts of $22.7 million and $20.7 million, respectively. During the six months ended June 30, 2021 and 2020, the Company recorded amortization expense in the amounts of $46.0 million and $39.7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3" w:name="page14"/>
    <w:bookmarkEnd w:id="13"/>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total expected future amortization related to intangible assets was as follows (in millions):</w:t>
      </w:r>
    </w:p>
    <w:p>
      <w:pPr>
        <w:spacing w:after="0" w:line="41" w:lineRule="exact"/>
        <w:rPr>
          <w:sz w:val="20"/>
          <w:szCs w:val="20"/>
          <w:color w:val="auto"/>
        </w:rPr>
      </w:pPr>
    </w:p>
    <w:p>
      <w:pPr>
        <w:jc w:val="center"/>
        <w:ind w:left="9700"/>
        <w:spacing w:after="0"/>
        <w:rPr>
          <w:sz w:val="20"/>
          <w:szCs w:val="20"/>
          <w:color w:val="auto"/>
        </w:rPr>
      </w:pPr>
      <w:r>
        <w:rPr>
          <w:rFonts w:ascii="Arial" w:cs="Arial" w:eastAsia="Arial" w:hAnsi="Arial"/>
          <w:sz w:val="13"/>
          <w:szCs w:val="13"/>
          <w:b w:val="1"/>
          <w:bCs w:val="1"/>
          <w:color w:val="auto"/>
        </w:rPr>
        <w:t>Amortization to be</w:t>
      </w:r>
    </w:p>
    <w:p>
      <w:pPr>
        <w:jc w:val="center"/>
        <w:ind w:left="9700"/>
        <w:spacing w:after="0" w:line="219" w:lineRule="auto"/>
        <w:rPr>
          <w:sz w:val="20"/>
          <w:szCs w:val="20"/>
          <w:color w:val="auto"/>
        </w:rPr>
      </w:pPr>
      <w:r>
        <w:rPr>
          <w:rFonts w:ascii="Arial" w:cs="Arial" w:eastAsia="Arial" w:hAnsi="Arial"/>
          <w:sz w:val="13"/>
          <w:szCs w:val="13"/>
          <w:b w:val="1"/>
          <w:bCs w:val="1"/>
          <w:color w:val="auto"/>
        </w:rPr>
        <w:t>included in cost of</w:t>
      </w:r>
    </w:p>
    <w:p>
      <w:pPr>
        <w:jc w:val="center"/>
        <w:ind w:left="970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1517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Remaining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center"/>
        <w:ind w:right="7020"/>
        <w:spacing w:after="0"/>
        <w:rPr>
          <w:sz w:val="20"/>
          <w:szCs w:val="20"/>
          <w:color w:val="auto"/>
        </w:rPr>
      </w:pPr>
      <w:r>
        <w:rPr>
          <w:rFonts w:ascii="Arial" w:cs="Arial" w:eastAsia="Arial" w:hAnsi="Arial"/>
          <w:sz w:val="16"/>
          <w:szCs w:val="16"/>
          <w:color w:val="auto"/>
        </w:rPr>
        <w:t>2025 and thereafter</w:t>
      </w:r>
    </w:p>
    <w:p>
      <w:pPr>
        <w:spacing w:after="0" w:line="81" w:lineRule="exact"/>
        <w:rPr>
          <w:sz w:val="20"/>
          <w:szCs w:val="20"/>
          <w:color w:val="auto"/>
        </w:rPr>
      </w:pPr>
    </w:p>
    <w:p>
      <w:pPr>
        <w:jc w:val="center"/>
        <w:ind w:right="7060"/>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tab/>
        <w:t>ACCRUED EXPENSES AND OTHER CURRENT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at June 30, 2021 and December 31, 2020 were as follows (in millions):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120" w:hanging="1047"/>
        <w:spacing w:after="0"/>
        <w:tabs>
          <w:tab w:leader="none" w:pos="2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45.4</w:t>
      </w:r>
    </w:p>
    <w:p>
      <w:pPr>
        <w:spacing w:after="0" w:line="46" w:lineRule="exact"/>
        <w:rPr>
          <w:rFonts w:ascii="Arial" w:cs="Arial" w:eastAsia="Arial" w:hAnsi="Arial"/>
          <w:sz w:val="16"/>
          <w:szCs w:val="16"/>
          <w:color w:val="auto"/>
        </w:rPr>
      </w:pPr>
    </w:p>
    <w:p>
      <w:pPr>
        <w:ind w:left="2120"/>
        <w:spacing w:after="0"/>
        <w:rPr>
          <w:rFonts w:ascii="Arial" w:cs="Arial" w:eastAsia="Arial" w:hAnsi="Arial"/>
          <w:sz w:val="16"/>
          <w:szCs w:val="16"/>
          <w:color w:val="auto"/>
        </w:rPr>
      </w:pPr>
      <w:r>
        <w:rPr>
          <w:rFonts w:ascii="Arial" w:cs="Arial" w:eastAsia="Arial" w:hAnsi="Arial"/>
          <w:sz w:val="16"/>
          <w:szCs w:val="16"/>
          <w:color w:val="auto"/>
        </w:rPr>
        <w:t>73.2</w:t>
      </w:r>
    </w:p>
    <w:p>
      <w:pPr>
        <w:spacing w:after="0" w:line="45" w:lineRule="exact"/>
        <w:rPr>
          <w:rFonts w:ascii="Arial" w:cs="Arial" w:eastAsia="Arial" w:hAnsi="Arial"/>
          <w:sz w:val="16"/>
          <w:szCs w:val="16"/>
          <w:color w:val="auto"/>
        </w:rPr>
      </w:pPr>
    </w:p>
    <w:p>
      <w:pPr>
        <w:ind w:left="2120"/>
        <w:spacing w:after="0"/>
        <w:rPr>
          <w:rFonts w:ascii="Arial" w:cs="Arial" w:eastAsia="Arial" w:hAnsi="Arial"/>
          <w:sz w:val="16"/>
          <w:szCs w:val="16"/>
          <w:color w:val="auto"/>
        </w:rPr>
      </w:pPr>
      <w:r>
        <w:rPr>
          <w:rFonts w:ascii="Arial" w:cs="Arial" w:eastAsia="Arial" w:hAnsi="Arial"/>
          <w:sz w:val="16"/>
          <w:szCs w:val="16"/>
          <w:color w:val="auto"/>
        </w:rPr>
        <w:t>63.3</w:t>
      </w:r>
    </w:p>
    <w:p>
      <w:pPr>
        <w:spacing w:after="0" w:line="45" w:lineRule="exact"/>
        <w:rPr>
          <w:rFonts w:ascii="Arial" w:cs="Arial" w:eastAsia="Arial" w:hAnsi="Arial"/>
          <w:sz w:val="16"/>
          <w:szCs w:val="16"/>
          <w:color w:val="auto"/>
        </w:rPr>
      </w:pPr>
    </w:p>
    <w:p>
      <w:pPr>
        <w:ind w:left="2120"/>
        <w:spacing w:after="0"/>
        <w:rPr>
          <w:rFonts w:ascii="Arial" w:cs="Arial" w:eastAsia="Arial" w:hAnsi="Arial"/>
          <w:sz w:val="16"/>
          <w:szCs w:val="16"/>
          <w:color w:val="auto"/>
        </w:rPr>
      </w:pPr>
      <w:r>
        <w:rPr>
          <w:rFonts w:ascii="Arial" w:cs="Arial" w:eastAsia="Arial" w:hAnsi="Arial"/>
          <w:sz w:val="16"/>
          <w:szCs w:val="16"/>
          <w:color w:val="auto"/>
        </w:rPr>
        <w:t>43.2</w:t>
      </w:r>
    </w:p>
    <w:p>
      <w:pPr>
        <w:spacing w:after="0" w:line="45" w:lineRule="exact"/>
        <w:rPr>
          <w:rFonts w:ascii="Arial" w:cs="Arial" w:eastAsia="Arial" w:hAnsi="Arial"/>
          <w:sz w:val="16"/>
          <w:szCs w:val="16"/>
          <w:color w:val="auto"/>
        </w:rPr>
      </w:pPr>
    </w:p>
    <w:p>
      <w:pPr>
        <w:ind w:left="2120"/>
        <w:spacing w:after="0"/>
        <w:rPr>
          <w:rFonts w:ascii="Arial" w:cs="Arial" w:eastAsia="Arial" w:hAnsi="Arial"/>
          <w:sz w:val="16"/>
          <w:szCs w:val="16"/>
          <w:color w:val="auto"/>
        </w:rPr>
      </w:pPr>
      <w:r>
        <w:rPr>
          <w:rFonts w:ascii="Arial" w:cs="Arial" w:eastAsia="Arial" w:hAnsi="Arial"/>
          <w:sz w:val="16"/>
          <w:szCs w:val="16"/>
          <w:color w:val="auto"/>
        </w:rPr>
        <w:t>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29210</wp:posOffset>
            </wp:positionV>
            <wp:extent cx="9258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8" w:lineRule="exact"/>
        <w:rPr>
          <w:sz w:val="20"/>
          <w:szCs w:val="20"/>
          <w:color w:val="auto"/>
        </w:rPr>
      </w:pPr>
    </w:p>
    <w:p>
      <w:pPr>
        <w:ind w:left="2040" w:hanging="967"/>
        <w:spacing w:after="0"/>
        <w:tabs>
          <w:tab w:leader="none" w:pos="20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309.7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36830</wp:posOffset>
            </wp:positionV>
            <wp:extent cx="9258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62230</wp:posOffset>
            </wp:positionV>
            <wp:extent cx="9258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ind w:left="120"/>
        <w:spacing w:after="0"/>
        <w:tabs>
          <w:tab w:leader="none" w:pos="16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9" w:lineRule="exact"/>
        <w:rPr>
          <w:sz w:val="20"/>
          <w:szCs w:val="20"/>
          <w:color w:val="auto"/>
        </w:rPr>
      </w:pPr>
    </w:p>
    <w:p>
      <w:pPr>
        <w:sectPr>
          <w:pgSz w:w="11900" w:h="16838" w:orient="portrait"/>
          <w:cols w:equalWidth="0" w:num="2">
            <w:col w:w="8460" w:space="240"/>
            <w:col w:w="25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accruals</w:t>
            </w: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Employees and related expenses</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70"/>
        </w:trPr>
        <w:tc>
          <w:tcPr>
            <w:tcW w:w="822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litigation</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63"/>
        </w:trPr>
        <w:tc>
          <w:tcPr>
            <w:tcW w:w="8220" w:type="dxa"/>
            <w:vAlign w:val="bottom"/>
          </w:tcPr>
          <w:p>
            <w:pPr>
              <w:ind w:left="26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484.8</w:t>
            </w:r>
          </w:p>
        </w:tc>
      </w:tr>
      <w:tr>
        <w:trPr>
          <w:trHeight w:val="20"/>
        </w:trPr>
        <w:tc>
          <w:tcPr>
            <w:tcW w:w="8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facilities of the Company are leased under various operating lease agreements, which expire on various dates, the latest of which is April 2031.</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include office real estate and data center leases for its facilities worldwide, which are all classified as operating leases, and which expire on various dates, the latest of which is April 2031. Certain lease agreements include rental payments that are adjusted periodically for the consumer price index (“CPI”). The ROU and lease liability were calculated using the initial CPI and will not be subsequently adjusted. Certain leases include renewal options that are reasonably certain to be exercised.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is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9"/>
        </w:trPr>
        <w:tc>
          <w:tcPr>
            <w:tcW w:w="9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assets, gross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1"/>
              </w:rPr>
              <w:t>The following is a summary of weighted average remaining lease terms and discount rates for all of the Company's operating leases: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rates</w:t>
            </w:r>
          </w:p>
        </w:tc>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lease cost was and $6.0 million and $3.9 million during the three months ended June 30, 2021 and 2020, respectively and $10.6 million and $7.6 million during the six months ended June 30, 2021 and 2020, respectively.</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jc w:val="both"/>
        <w:ind w:right="20"/>
        <w:spacing w:after="0" w:line="308" w:lineRule="auto"/>
        <w:rPr>
          <w:sz w:val="20"/>
          <w:szCs w:val="20"/>
          <w:color w:val="auto"/>
        </w:rPr>
      </w:pPr>
      <w:r>
        <w:rPr>
          <w:rFonts w:ascii="Arial" w:cs="Arial" w:eastAsia="Arial" w:hAnsi="Arial"/>
          <w:sz w:val="17"/>
          <w:szCs w:val="17"/>
          <w:color w:val="auto"/>
        </w:rPr>
        <w:t>Cash paid for amounts included in the measurement of operating lease liabilities was $5.4 million and $3.0 million during the three months ended June 30, 2021 and 2020, respectively and $10.5 million and $6.4 million during the six months ended June 30, 2021 and 2020,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are as follows as of June 30, 2021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2022</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2024</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Arial" w:cs="Arial" w:eastAsia="Arial" w:hAnsi="Arial"/>
                <w:sz w:val="18"/>
                <w:szCs w:val="18"/>
                <w:b w:val="1"/>
                <w:bCs w:val="1"/>
                <w:color w:val="auto"/>
              </w:rPr>
              <w:t>Total undiscounted cash flows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Arial" w:cs="Arial" w:eastAsia="Arial" w:hAnsi="Arial"/>
                <w:sz w:val="18"/>
                <w:szCs w:val="18"/>
                <w:b w:val="1"/>
                <w:bCs w:val="1"/>
                <w:color w:val="auto"/>
              </w:rPr>
              <w:t>Present value of lease liabilities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NOTE 6.  DEBT</w:t>
            </w: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6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gridSpan w:val="5"/>
            <w:vMerge w:val="restart"/>
          </w:tcPr>
          <w:p>
            <w:pPr>
              <w:ind w:left="9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5"/>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Maturity</w:t>
            </w:r>
          </w:p>
        </w:tc>
        <w:tc>
          <w:tcPr>
            <w:tcW w:w="156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Book value</w:t>
            </w:r>
          </w:p>
        </w:tc>
        <w:tc>
          <w:tcPr>
            <w:tcW w:w="20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9"/>
              </w:rPr>
              <w:t>Face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9"/>
              </w:rPr>
              <w:t>Book value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rate(s)</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8"/>
                <w:szCs w:val="18"/>
                <w:i w:val="1"/>
                <w:iCs w:val="1"/>
                <w:color w:val="auto"/>
                <w:w w:val="96"/>
              </w:rPr>
              <w:t>(in millions)</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1,895.3</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Pr>
          <w:p>
            <w:pPr>
              <w:ind w:left="260"/>
              <w:spacing w:after="0"/>
              <w:rPr>
                <w:sz w:val="20"/>
                <w:szCs w:val="20"/>
                <w:color w:val="auto"/>
              </w:rPr>
            </w:pPr>
            <w:r>
              <w:rPr>
                <w:rFonts w:ascii="Arial" w:cs="Arial" w:eastAsia="Arial" w:hAnsi="Arial"/>
                <w:sz w:val="18"/>
                <w:szCs w:val="18"/>
                <w:b w:val="1"/>
                <w:bCs w:val="1"/>
                <w:color w:val="auto"/>
              </w:rPr>
              <w:t>Total debt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2,314.4</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3620" w:type="dxa"/>
            <w:vAlign w:val="bottom"/>
          </w:tcPr>
          <w:p>
            <w:pPr>
              <w:ind w:left="260"/>
              <w:spacing w:after="0"/>
              <w:rPr>
                <w:sz w:val="20"/>
                <w:szCs w:val="20"/>
                <w:color w:val="auto"/>
              </w:rPr>
            </w:pPr>
            <w:r>
              <w:rPr>
                <w:rFonts w:ascii="Arial" w:cs="Arial" w:eastAsia="Arial" w:hAnsi="Arial"/>
                <w:sz w:val="18"/>
                <w:szCs w:val="18"/>
                <w:b w:val="1"/>
                <w:bCs w:val="1"/>
                <w:color w:val="auto"/>
              </w:rPr>
              <w:t>Long-term debt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Book value of debt in the table above is reported net of deferred financing costs and original issue discount of $54.5 million at June 30, 2021 and deferred financing costs of $60.6 million at December 31,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10, 2019, the Company entered into $2,750 million of senior secured credit facilities (the "Credit Facilities"), consisting of a $250 million revolving credit facility (the "Revolving Credit Facility"), and a $2,500 million first lien term loan (the "Old Term Loan"). The Credit Facilities were provided pursuant to a Credit Agreement, dated as of December 10, 2019 (the "Credit Agreement"), by and among Playtika, the lenders party thereto, and Credit Suisse, AG, Cayman Islands Branch, as administrative agent (in such capacity, the "Administrative Agent") and collateral agent (in such capacity, the "Collateral Agent"). Proceeds borrowed under the Credit Facilities on the closing date were used to pay off the outstanding balance on the Company’s prior debt facility. On June 15, 2020, the Company increased the capacity of the Revolving Credit Facility to $350 million. On January 15, 2021, the Company increased the borrowing capacity of the Revolving Credit Facility from $350 million to $550 million.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11, 2021, the Company amended the Credit Agreement pursuant to an Incremental Assumption Agreement No. 3 and Second Amendment to Credit Agreement (the “Second Amendment”).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Amendment, among other things, effected a refinancing of the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5" w:name="page16"/>
    <w:bookmarkEnd w:id="15"/>
    <w:p>
      <w:pPr>
        <w:jc w:val="both"/>
        <w:spacing w:after="0" w:line="289" w:lineRule="auto"/>
        <w:rPr>
          <w:sz w:val="20"/>
          <w:szCs w:val="20"/>
          <w:color w:val="auto"/>
        </w:rPr>
      </w:pPr>
      <w:r>
        <w:rPr>
          <w:rFonts w:ascii="Arial" w:cs="Arial" w:eastAsia="Arial" w:hAnsi="Arial"/>
          <w:sz w:val="16"/>
          <w:szCs w:val="16"/>
          <w:color w:val="auto"/>
        </w:rPr>
        <w:t>The Credit Agreement allows the Company to request one or more incremental term loan facilities, incremental revolving credit facilities and/or increases to the New Term Loan or the Revolving Credit Facility in an aggregate amount of up to the sum of (x) the greater of (1) $800 million and (2) 1.00 times EBITDA (as defined in the Credit Agreement) plus (y) the amount of certain voluntary prepayments of indebtedness plus (z) such additional amount so long as, (i) in the case of loans under additional credit facilities that are secured by liens on the collateral securing the Credit Agreement, the Company's net total secured leverage ratio on a pro forma basis would not exceed 3.50 to 1.00 (or in the case of incremental facilities to fund certain investments and acquisitions, the net total secured leverage ratio immediately prior to such incurrence) and (iii) in the case of any other loans under additional credit facilities, the Company's fixed charge coverage ratio on a pro forma basis would not be less than 2.00 to 1.00 (or in the case of incremental facilities to fund certain investments and acquisitions, the fixed charge coverage ratio immediately prior to such incurrence), in each case, subject to certain conditions and receipt of commitments by existing or additional financial institutions or institutional lenders.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Borrowings under the Credit Agreement bear interest at a rate equal to, at the Company’s option, either (a) LIBOR determined by reference to the cost of funds for Eurodollar deposits for the interest period relevant to such borrowing, adjusted for certain additional costs, subject to a floor of 0% or (b) a base rate determined by reference to the highest of (i) the federal funds rate plus 0.50%, (ii) the prime rate as determined by the administrative agent and (iii) the one-month adjusted LIBOR rate plus 1.00%, in each case plus an applicable margin. Such applicable margin is (x) with respect to the New Term Loan, 2.75% per annum in the case of any LIBOR loan or 1.75% per annum in the case of any base rate loan, subject to one 0.25% step-down based on the Company’s credit ratings and (y) in the case of the Revolving Credit Facility, a range from 2.25% to 3.00% per annum in the case of any LIBOR loan and a range from 1.25% to 2.00% per annum in the case of any base rate loan, based on the Company’s net senior secured leverage ratio.</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a quarterly basis, the Company is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the Company’s net senior secured leverage ratio. The Company is also required to pay customary agency fees as well as letter of credit participation fees on outstanding letters of credit.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permits voluntary prepayments and requires mandatory prepayments in certain events including, among others, 50% (subject to step-downs to 25% and 0% based upon the Company’s net total secured leverage ratio) of the Company's excess cash flow to the extent such amount exceeds $10 million, certain net cash proceeds from non-ordinary assets sale transactions (subject to reinvestment rights), and 100% of net proceeds of any issuance of debt (except for debt permitted to be incurred by the Credit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 and Guarantors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borrowings under the Credit Agreement are guaranteed by certain material, wholly-owned restricted subsidiaries of the Company, and are secured by a pledge of substantially all of the existing and future property and assets of the Company and the guarantors (subject to exceptions), including a pledge of the capital stock of the domestic subsidiaries held by the Company and the domestic guarantors and 65% (or 100% in the case of certain of the guarantors) of the capital stock of the first-tier foreign subsidiaries held by the Company and the domestic guarantors, in each case subject to exceptions.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requires that the Company and the guarantors (a) generate at least 80.0% of the EBITDA of the Company and its restricted subsidiaries for the four fiscal quarters most recently ended prior to the end of each fiscal quarter and (b) own all "Material Intellectual Property" (defined as any intellectual property rights consisting of registered trademarks or copyrights subsisting in the name or logo of any game that generates more than 5% of the EBITDA of the Company and its restricted subsidiaries for the then most recently ended four fiscal quarters) on the last day of the four fiscal quarters most recently ended prior to the end of each fiscal quarter. If the Company and the guarantors do not satisfy such requirement, then the Company must cause sufficient additional subsidiaries (which, subject to certain limitations,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include guarantors located in jurisdictions other than the United States, England and Wales and the State of Israel) to become guarantors in order to satisfy such requirement. As of June 30, 2021, the Company was in compliance with these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Revolving Credit Facility includes a maximum first-priority net senior secured leverage ratio financial maintenance covenant of 6.25 to 1.0. At June 30, 2021, the Company’s first-priority net senior secured leverage ratio was 0.75 to 1.0.</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Credit Agreement includes negative covenants, subject to certain exceptions, restricting or limiting the Company's ability and the ability of its restricted subsidiaries to, among other things: (i) make non-ordinary course dispositions of assets; (ii) make certain mergers and acquisitions;</w:t>
      </w:r>
    </w:p>
    <w:p>
      <w:pPr>
        <w:ind w:left="360" w:hanging="352"/>
        <w:spacing w:after="0"/>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complete dividends and stock repurchases and optional redemptions (and optional prepayments) of subordinated debt; (iv) incur indebtedness;</w:t>
      </w:r>
    </w:p>
    <w:p>
      <w:pPr>
        <w:spacing w:after="0" w:line="20" w:lineRule="exact"/>
        <w:rPr>
          <w:rFonts w:ascii="Arial" w:cs="Arial" w:eastAsia="Arial" w:hAnsi="Arial"/>
          <w:sz w:val="17"/>
          <w:szCs w:val="17"/>
          <w:color w:val="auto"/>
        </w:rPr>
      </w:pPr>
    </w:p>
    <w:p>
      <w:pPr>
        <w:jc w:val="both"/>
        <w:ind w:firstLine="8"/>
        <w:spacing w:after="0" w:line="253"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loans and investments; (vi) incur liens and certain fixed charges; (vii) transact with affiliates; (viii) change the business of the Company and its restricted subsidiaries; (ix) enter into sale/leaseback transactions; (x) allow limitations on negative pledges and the ability of restricted subsidiaries to pay dividends or make distributions; (xi) change the fiscal year and (xii) modify subordinated debt documents. Under the Credit Agreement, the Company may be required to meet specified leverage ratios or fixed charge coverage ratios in order to take certain actions, such as incurring certain debt or liens or making certain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Related to Modification of Debt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restructuring of its debt agreements in accordance with the accounting standards applicable to troubled debt restructuring, debt modification and debt extinguishment. Under the applicable accounting standards, the Company determined that the March 2021 financing transactions qualified for modification accounting. As a result, the Company expensed $14.5 million related to the debt modification, wrote off $22.9 million of previously deferred financing costs related to the modification of debt related to the Company’s Old Term Loan and carried over $34.9 million of deferred financing costs to the New Term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of 4.250% Senior Notes due 2029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11, 2021, the Company issued $600.0 million aggregate principal amount of its 4.250% senior notes due 2029 (the “Notes”) under an indenture, dated March 11, 2021 (the “Indenture”), among the Company, the subsidiary guarantors party thereto and Wilmington Trust, National Association, as trustee (the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and Interest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mature on March 15, 2029. Interest on the Notes will accrue at a rate of 4.250% per annum. Interest on the Notes payable semi-annually in cash in arrears on March 15 and September 15 of each year, commencing on September 15,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Notes are fully and unconditionally guaranteed, jointly and severally, on a senior unsecured basis by the Company’s existing and future restricted subsidiaries that guarantee the obligations under the Credit Agreement (as defined below) (the “subsidiary guarantors”).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and the note guarantees rank equally in right of payment to all of the Company’s and the subsidiary guarantors’ existing and future senior indebtedness and senior in right of payment to all of the Company’s and the subsidiary guarantors’ future subordinated indebtedness. The Notes and the note guarantees are effectively subordinated to any of the Company’s and the subsidiary guarantors’ existing and future secured indebtedness to the extent of the value of the assets securing such</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indebtedness, including indebtedness outstanding under the Credit Agreement. In addition, the Notes and the note guarantees are structurally subordinated to the existing and future liabilities of the Company’s non-guarantor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redeem the Notes at any time prior to March 15, 2024, in whole or in part, at a redemption price equal to 100% of the accrued principal amount thereof plus accrued and unpaid interest, if any, to, but excluding, the redemption date, plus a make-whole premium.</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redeem the Notes at any time on or after March 15, 2024, in whole or in part, at a redemption price equal to (i) 102.125% of the principal amount thereof, should such redemption occur before March 15, 2025, (ii) 101.063% of the principal amount thereof, should such redemption occur before March 15, 2026, and (iii) 100.000% of the principal amount thereof, should such redemption occur on or after March 15, 2026, in each case plus accrued and unpaid interest, if any, to, but excluding, the redemption date.</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at any time prior to March 15, 2024, the Company may redeem up to 40% of the original aggregate principal amount of all Notes issued with the net cash proceeds from certain equity offerings at a redemption price of 104.250% of the principal amount redeemed plus accrued and unpaid interest, if any, to, but excluding, the redemption date, so long as at least 50% of the aggregate principal amount of the Notes remains outstanding immediately after the occurrence of such redemption, and the redemption date is within 90 days of the consummation of any such equity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Indenture contains customary covenants that limit the Company’s ability and, in certain instances, the ability of the Company’s subsidiaries, to borrow money, create liens on assets, make distributions and pay dividends on or redeem or repurchase stock, make certain types of investments, sell stock in certain subsidiaries, enter into agreements that restrict dividends or other payments from subsidiaries, enter into transactions with affiliates, issue guarantees of indebtedness, and sell assets or merge with other companies. These limitations are subject to a number of important exceptions and qualifications set forth in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of a change of control, the Company must offer to repurchase the Notes at a repurchase price equal to 101% of the aggregate principal amount thereof plus accrued and unpaid interest, if any, to, but excluding, the repurchase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Events of default under the Indenture include, among others, the following with respect to the Notes: default which continues for 30 days in the payment of interest on the Notes; default in payment of the principal of, or premium, if any, on the Notes; failure to comply with certain covenants in the Indenture for 60 days (or 120 days with respect to the covenant relating to the provision of financial reports) upon the receipt of notice from the Trustee or holders of at least 25% in aggregate principal amount of the Notes; acceleration or payment default of indebtedness of the Company or certain of its subsidiaries in excess of a specified amount that remains uncured following the applicable grace period provided in such indebtedness; final judgments against the Company or certain of its subsidiaries in excess of a specified amount that remains unpaid for 45 days; and certain events of bankruptcy or insolvency with respect to the Company or certain of its subsidiaries. In the case of an event of default arising from certain events of bankruptcy or insolvency with respect to the Company or certain of its subsidiaries, all Notes then outstanding will become due and payable immediately without further action or notice. If any other event of default occurs with respect to the Notes, the Trustee or holders of at least 25% in aggregate principal amount of the Notes may declare all Notes then outstanding to be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Arial" w:cs="Arial" w:eastAsia="Arial" w:hAnsi="Arial"/>
                <w:sz w:val="18"/>
                <w:szCs w:val="18"/>
                <w:b w:val="1"/>
                <w:bCs w:val="1"/>
                <w:color w:val="auto"/>
              </w:rPr>
              <w:t>Scheduled Principal Payments of Long-Term Debt</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9760" w:type="dxa"/>
            <w:vAlign w:val="bottom"/>
          </w:tcPr>
          <w:p>
            <w:pPr>
              <w:spacing w:after="0"/>
              <w:rPr>
                <w:sz w:val="20"/>
                <w:szCs w:val="20"/>
                <w:color w:val="auto"/>
              </w:rPr>
            </w:pPr>
            <w:r>
              <w:rPr>
                <w:rFonts w:ascii="Arial" w:cs="Arial" w:eastAsia="Arial" w:hAnsi="Arial"/>
                <w:sz w:val="18"/>
                <w:szCs w:val="18"/>
                <w:color w:val="auto"/>
              </w:rPr>
              <w:t>The scheduled principal payments due on long-term debt are as follows (in millions):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7"/>
        </w:trPr>
        <w:tc>
          <w:tcPr>
            <w:tcW w:w="9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2,428.8</w:t>
            </w:r>
          </w:p>
        </w:tc>
      </w:tr>
      <w:tr>
        <w:trPr>
          <w:trHeight w:val="223"/>
        </w:trPr>
        <w:tc>
          <w:tcPr>
            <w:tcW w:w="976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2,495.3</w:t>
            </w:r>
          </w:p>
        </w:tc>
      </w:tr>
      <w:tr>
        <w:trPr>
          <w:trHeight w:val="20"/>
        </w:trPr>
        <w:tc>
          <w:tcPr>
            <w:tcW w:w="9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7.</w:t>
        <w:tab/>
        <w:t>EQUITY TRANSACTIONS AND STOCK INCENTIVE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Transactions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26, 2020, the Board of Directors of the Company approved an amendment to the Certificate of Incorporation of the Company (the “Stock Split”) to increase the authorized number of shares of the Company’s common stock from ten (10) shares to one million (1,000,000) shares, to decrease the par value of each share of common stock of the Company from $1.00 per share to $0.01 per share, and to reclassify each share of common stock issued and outstanding immediately prior to the Stock Split into 94,500 shares of common stock.</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2021, the Company’s Board of Directors approved an amended and restated certificate of incorporation of the Company effecting an additional 400-for-1 stock split of the Company’s issued and outstanding shares of common stock and an increase to the authorized shares of our common stock and preferred stock to 1.6 billion shares and 100 million shares, respectively. The split and the increase in authorized shares of the Company’s common stock was effected on January 6, 2021 and without any change in the par value per shares.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information herein related to the Company’s common stock and stock awards has been retroactively adjusted to give effect to both the May 26, 2020 stock split and the January 5, 2021 stock split.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Stock Incentive Plan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26, 2020, the Board of Directors of the Company approved the Playtika Holding Corp. 2020 Incentive Award Plan (the “Plan”). The Plan authorizes the issuance of stock options, restricted stock, restricted stock units (“RSUs”), dividend equivalents, stock appreciation rights, performance bonus awards and other incentive awards. The Plan authorizes the grant of awards to employees, non-employee directors and consultants of the Company.</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maximum number of shares of the Company’s common stock for which grants may be made under the Plan was 42,190,299 shares as of June 30, 2021. As of June 30, 2021, a total of 2,749,972 shares of the Company’s common stock remained available for grants of awards under the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Outstanding stock option grants generally vest over four years, with 25% vesting on each of the four anniversaries of the grant date. The stock options have a contractual term of 10 years. Except as provided in an option agreement between the Company and the employee, if an employee is terminated (voluntarily or involuntarily), any unvested awards as of the date of termination will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summarizes the Company’s stock option activity during the six months ended June 30,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93"/>
              </w:rPr>
              <w:t>Intrinsic</w:t>
            </w: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88"/>
              </w:rPr>
              <w:t>Value</w:t>
            </w:r>
          </w:p>
        </w:tc>
      </w:tr>
      <w:tr>
        <w:trPr>
          <w:trHeight w:val="219"/>
        </w:trPr>
        <w:tc>
          <w:tcPr>
            <w:tcW w:w="5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Term (in years)</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91"/>
              </w:rPr>
              <w:t>(in millions)</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8,006,297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460" w:type="dxa"/>
            <w:vAlign w:val="bottom"/>
          </w:tcPr>
          <w:p>
            <w:pPr>
              <w:jc w:val="right"/>
              <w:spacing w:after="0"/>
              <w:rPr>
                <w:sz w:val="20"/>
                <w:szCs w:val="20"/>
                <w:color w:val="auto"/>
              </w:rPr>
            </w:pPr>
            <w:r>
              <w:rPr>
                <w:rFonts w:ascii="Arial" w:cs="Arial" w:eastAsia="Arial" w:hAnsi="Arial"/>
                <w:sz w:val="18"/>
                <w:szCs w:val="18"/>
                <w:color w:val="auto"/>
              </w:rPr>
              <w:t>(369,084)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Outstanding at June 30,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15,637,213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at June 30,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issue new shares of common stock upon exercise of 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Black-Scholes option pricing model to estimate the fair value and compensation cost associated with employee stock options, which is affected by the following assumptions regarding complex and subjective variables. Any changes in these assumptions may materially affect the estimated fair value of the stock-based award.</w:t>
      </w:r>
    </w:p>
    <w:p>
      <w:pPr>
        <w:spacing w:after="0" w:line="211" w:lineRule="exact"/>
        <w:rPr>
          <w:sz w:val="20"/>
          <w:szCs w:val="20"/>
          <w:color w:val="auto"/>
        </w:rPr>
      </w:pPr>
    </w:p>
    <w:p>
      <w:pPr>
        <w:ind w:left="660" w:hanging="324"/>
        <w:spacing w:after="0" w:line="259" w:lineRule="auto"/>
        <w:rPr>
          <w:sz w:val="20"/>
          <w:szCs w:val="20"/>
          <w:color w:val="auto"/>
        </w:rPr>
      </w:pPr>
      <w:r>
        <w:rPr>
          <w:rFonts w:ascii="Arial" w:cs="Arial" w:eastAsia="Arial" w:hAnsi="Arial"/>
          <w:sz w:val="18"/>
          <w:szCs w:val="18"/>
          <w:color w:val="auto"/>
        </w:rPr>
        <w:t>– Fair value of common stock - Prior to the Company’s initial public offering of equity in January 2021, as the Company’s common stock was not publicly traded, the fair value of common stock was estimated by valuation reports prepared by third-party valuation specialists. Subsequent to the Company’s initial public offering, the Company uses the public trading price of its common stock on the Nasdaq stock market to determine the fair value of its common stock.</w:t>
      </w:r>
    </w:p>
    <w:p>
      <w:pPr>
        <w:spacing w:after="0" w:line="213" w:lineRule="exact"/>
        <w:rPr>
          <w:sz w:val="20"/>
          <w:szCs w:val="20"/>
          <w:color w:val="auto"/>
        </w:rPr>
      </w:pPr>
    </w:p>
    <w:p>
      <w:pPr>
        <w:ind w:left="660" w:hanging="324"/>
        <w:spacing w:after="0" w:line="257" w:lineRule="auto"/>
        <w:rPr>
          <w:sz w:val="20"/>
          <w:szCs w:val="20"/>
          <w:color w:val="auto"/>
        </w:rPr>
      </w:pPr>
      <w:r>
        <w:rPr>
          <w:rFonts w:ascii="Arial" w:cs="Arial" w:eastAsia="Arial" w:hAnsi="Arial"/>
          <w:sz w:val="18"/>
          <w:szCs w:val="18"/>
          <w:color w:val="auto"/>
        </w:rPr>
        <w:t>– Expected volatility – Prior to the Company’s initial public offering of equity in January 2021, as the Company was a private company at the time of valuation, the Company estimated volatility based on the volatilities exhibited by comparable public companies and the Company’s capital structure and utilized the observable data for a group of peer companies that grant options with substantially similar terms to assist in developing its volatility assumption. Subsequent to the Company’s initial public offering, the Company continues to estimate volatility in the same manner as it has not yet established sufficient history to estimate volatility of its own.</w:t>
      </w:r>
    </w:p>
    <w:p>
      <w:pPr>
        <w:spacing w:after="0" w:line="214"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Risk-free interest rate - The risk-free interest rate was estimated based on the U.S. Treasury yield curve in effect at the time of grant and with maturities consistent with the expected term of the respective equity option award.</w:t>
      </w:r>
    </w:p>
    <w:p>
      <w:pPr>
        <w:spacing w:after="0" w:line="197"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Expected term - The Company estimated the expected term based on the average time between the vesting date and expiration date, ten years after the grant date, of the respective equity option award.</w:t>
      </w:r>
    </w:p>
    <w:p>
      <w:pPr>
        <w:spacing w:after="0" w:line="197" w:lineRule="exact"/>
        <w:rPr>
          <w:sz w:val="20"/>
          <w:szCs w:val="20"/>
          <w:color w:val="auto"/>
        </w:rPr>
      </w:pPr>
    </w:p>
    <w:p>
      <w:pPr>
        <w:ind w:left="660" w:right="20" w:hanging="324"/>
        <w:spacing w:after="0" w:line="277" w:lineRule="auto"/>
        <w:rPr>
          <w:sz w:val="20"/>
          <w:szCs w:val="20"/>
          <w:color w:val="auto"/>
        </w:rPr>
      </w:pPr>
      <w:r>
        <w:rPr>
          <w:rFonts w:ascii="Arial" w:cs="Arial" w:eastAsia="Arial" w:hAnsi="Arial"/>
          <w:sz w:val="18"/>
          <w:szCs w:val="18"/>
          <w:color w:val="auto"/>
        </w:rPr>
        <w:t>– Expected dividend yield - The Company does not anticipate paying cash dividends on its shares of common stock; therefore, the expected dividend yield was assumed to be zero.</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options granted during 2020 vest over four years, with 25% vesting on each of the four anniversaries of the grant date. For options granted during January 2021, 25% of the options generally vest on the first anniversary of the grant date, and the remaining 75% of the options vest in equal quarterly installments during the three years following the first anniversary of the grant date. The Company expects that future option grants generally will follow one of these two different vesting schedules. The stock options have a contractual term of ten years. Except as provided in an option agreement between the Company and the employee, if an employee is terminated (voluntarily or involuntarily), any unvested awards as of the date of termination will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RSUs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RSUs granted on June 26, 2020 vested immediately, while the remaining RSUs granted on June 26, 2020 vested 25% immediately, and 25% vest on each of the first three anniversaries of the grant date.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2020, the Company’s board of directors approved the issuance of 5,854,800 RSUs. The RSUs vest over four years, with 25% of the RSUs vesting on each of December 31, 2021, 2022, 2023 and 2024, subject to continued service on the applicable vesting date.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RSUs granted during 2021, 25% of the RSUs generally vest on the first anniversary of the grant date, and the remaining 75% of the RSUs vest in equal quarterly installments during the three years following the first anniversary of the grant date. The Company expects that future RSU grants generally will follow the vesting schedule used in January 2021. Except as provided in an award agreement between the Company and the employee, if an employee is terminated (voluntarily or involuntarily), any unvested awards as of the date of termination will be forfeited. RSUs settle for outstanding shares of the Company’s common stock upon vesting.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RSU activity during the six months ended June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Weighted</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Arial" w:cs="Arial" w:eastAsia="Arial" w:hAnsi="Arial"/>
                <w:sz w:val="16"/>
                <w:szCs w:val="16"/>
                <w:b w:val="1"/>
                <w:bCs w:val="1"/>
                <w:color w:val="auto"/>
                <w:w w:val="97"/>
              </w:rPr>
              <w:t>Total Fair</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Value of</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Grant Date</w:t>
            </w:r>
          </w:p>
        </w:tc>
        <w:tc>
          <w:tcPr>
            <w:tcW w:w="180" w:type="dxa"/>
            <w:vAlign w:val="bottom"/>
          </w:tcPr>
          <w:p>
            <w:pPr>
              <w:spacing w:after="0"/>
              <w:rPr>
                <w:sz w:val="18"/>
                <w:szCs w:val="18"/>
                <w:color w:val="auto"/>
              </w:rPr>
            </w:pPr>
          </w:p>
        </w:tc>
        <w:tc>
          <w:tcPr>
            <w:tcW w:w="1280" w:type="dxa"/>
            <w:vAlign w:val="bottom"/>
          </w:tcPr>
          <w:p>
            <w:pPr>
              <w:jc w:val="center"/>
              <w:ind w:right="75"/>
              <w:spacing w:after="0"/>
              <w:rPr>
                <w:sz w:val="20"/>
                <w:szCs w:val="20"/>
                <w:color w:val="auto"/>
              </w:rPr>
            </w:pPr>
            <w:r>
              <w:rPr>
                <w:rFonts w:ascii="Arial" w:cs="Arial" w:eastAsia="Arial" w:hAnsi="Arial"/>
                <w:sz w:val="16"/>
                <w:szCs w:val="16"/>
                <w:b w:val="1"/>
                <w:bCs w:val="1"/>
                <w:color w:val="auto"/>
                <w:w w:val="87"/>
              </w:rPr>
              <w:t>Shares Vested</w:t>
            </w:r>
          </w:p>
        </w:tc>
        <w:tc>
          <w:tcPr>
            <w:tcW w:w="0" w:type="dxa"/>
            <w:vAlign w:val="bottom"/>
          </w:tcPr>
          <w:p>
            <w:pPr>
              <w:spacing w:after="0"/>
              <w:rPr>
                <w:sz w:val="1"/>
                <w:szCs w:val="1"/>
                <w:color w:val="auto"/>
              </w:rPr>
            </w:pPr>
          </w:p>
        </w:tc>
      </w:tr>
      <w:tr>
        <w:trPr>
          <w:trHeight w:val="219"/>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Fair Value</w:t>
            </w:r>
          </w:p>
        </w:tc>
        <w:tc>
          <w:tcPr>
            <w:tcW w:w="18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26"/>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2021</w:t>
            </w:r>
          </w:p>
        </w:tc>
        <w:tc>
          <w:tcPr>
            <w:tcW w:w="3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5,944,800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rPr>
                <w:sz w:val="20"/>
                <w:szCs w:val="20"/>
                <w:color w:val="auto"/>
              </w:rPr>
            </w:pPr>
            <w:r>
              <w:rPr>
                <w:rFonts w:ascii="Arial" w:cs="Arial" w:eastAsia="Arial" w:hAnsi="Arial"/>
                <w:sz w:val="18"/>
                <w:szCs w:val="18"/>
                <w:color w:val="auto"/>
              </w:rPr>
              <w:t>Granted</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4,989,820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Cancelled</w:t>
            </w: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(198,706)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June 30, 2021</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10,687,396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Stock-Based Compensation</w:t>
            </w: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80" w:type="dxa"/>
            <w:vAlign w:val="bottom"/>
            <w:gridSpan w:val="6"/>
          </w:tcPr>
          <w:p>
            <w:pPr>
              <w:spacing w:after="0"/>
              <w:rPr>
                <w:sz w:val="20"/>
                <w:szCs w:val="20"/>
                <w:color w:val="auto"/>
              </w:rPr>
            </w:pPr>
            <w:r>
              <w:rPr>
                <w:rFonts w:ascii="Arial" w:cs="Arial" w:eastAsia="Arial" w:hAnsi="Arial"/>
                <w:sz w:val="18"/>
                <w:szCs w:val="18"/>
                <w:color w:val="auto"/>
                <w:w w:val="93"/>
              </w:rPr>
              <w:t>The following table summarizes stock-based compensation costs by award type (in millions):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4"/>
          </w:tcPr>
          <w:p>
            <w:pPr>
              <w:jc w:val="right"/>
              <w:ind w:right="595"/>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5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75"/>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stock-based compensation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following table summarizes stock-based compensation costs as reported on the Company’s consolidated statement of comprehensive income (loss) (in millions):</w:t>
      </w: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308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28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9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5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94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50"/>
        </w:trPr>
        <w:tc>
          <w:tcPr>
            <w:tcW w:w="4940" w:type="dxa"/>
            <w:vAlign w:val="bottom"/>
          </w:tcPr>
          <w:p>
            <w:pPr>
              <w:ind w:left="260"/>
              <w:spacing w:after="0"/>
              <w:rPr>
                <w:sz w:val="20"/>
                <w:szCs w:val="20"/>
                <w:color w:val="auto"/>
              </w:rPr>
            </w:pPr>
            <w:r>
              <w:rPr>
                <w:rFonts w:ascii="Arial" w:cs="Arial" w:eastAsia="Arial" w:hAnsi="Arial"/>
                <w:sz w:val="18"/>
                <w:szCs w:val="18"/>
                <w:b w:val="1"/>
                <w:bCs w:val="1"/>
                <w:color w:val="auto"/>
              </w:rPr>
              <w:t>Total stock-based compensation costs</w:t>
            </w: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r>
      <w:tr>
        <w:trPr>
          <w:trHeight w:val="21"/>
        </w:trPr>
        <w:tc>
          <w:tcPr>
            <w:tcW w:w="4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2021, the Company’s unrecognized stock-based compensation expenses related to stock options was approximately $120.6 million, which are expected to be recognized over a period of 3.31 years. As of June 30, 2021, the Company’s unrecognized stock-based compensation expenses related to unvested restricted stock units was approximately $237.6 million, which are expected to be recognized over a period of 3.52 years.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1" w:name="page22"/>
    <w:bookmarkEnd w:id="21"/>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tab/>
        <w:t>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2021, the Company entered into two interest rate swap agreements, each with a notional value of $250 million. Each of these swap agreements is with a different financial institution as the counterparty to reduce the Company’s counterparty risk. Each swap requires the Company to pay a fixed interest rate of 0.9275% in exchange for receiving one-month LIBOR. The interest rate swap agreements settle monthly commencing in April 2021 through their termination dates on April 30, 2026. The estimated fair value of the Company’s interest rate swap agreements is derived from a discounted cash flow analysis. The aggregate fair value of the Company’s interest rate swap agreements was a liability of $2.5 million as of June 30, 2021 and was recorded between accrued expenses and other current liabilities and other non-current assets in the accompanying consolidated balance sheets based upon the timing of the underlying expected cash flows.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 agreements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also entered into multiple forward contracts for the future purchase of ILS. At June 30, 2021, the Company had forward contracts outstanding for an aggregate purchase of 130.6 million ILS, all which mature within the following 12 months. The aggregate fair value of the Company’s forward contracts was $0.3 million as of June 30, 2021 and was recorded in accrued expenses and other current liabilities and other non-current assets in the accompanying consolidated balance sheets.</w:t>
      </w: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fair value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three-tier hierarchy, which prioritizes the inputs used in measuring fair value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first two levels in the hierarchy are considered observable inputs and the last is considered unobservable. The carrying value of accounts receivable and payables and the Company's cash and cash equivalents, short-term bank deposits and restricted cash, approximates fair value due to the short time to expected payment or receipt of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measurement of the Company’s long-term debt at June 30, 2021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June 30, 2021</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Face Value</w:t>
            </w:r>
          </w:p>
        </w:tc>
        <w:tc>
          <w:tcPr>
            <w:tcW w:w="200" w:type="dxa"/>
            <w:vAlign w:val="bottom"/>
          </w:tcPr>
          <w:p>
            <w:pPr>
              <w:spacing w:after="0"/>
              <w:rPr>
                <w:sz w:val="14"/>
                <w:szCs w:val="14"/>
                <w:color w:val="auto"/>
              </w:rPr>
            </w:pPr>
          </w:p>
        </w:tc>
        <w:tc>
          <w:tcPr>
            <w:tcW w:w="14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Hierarchy</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2,481.2</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the assets and liabilities measured at fair value on a recurring basis in the Company’s consolidated balance sheets at June 30, 2021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19"/>
                <w:szCs w:val="19"/>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Pricing</w:t>
            </w:r>
          </w:p>
        </w:tc>
        <w:tc>
          <w:tcPr>
            <w:tcW w:w="220" w:type="dxa"/>
            <w:vAlign w:val="bottom"/>
          </w:tcPr>
          <w:p>
            <w:pPr>
              <w:spacing w:after="0"/>
              <w:rPr>
                <w:sz w:val="19"/>
                <w:szCs w:val="19"/>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 at</w:t>
            </w:r>
          </w:p>
        </w:tc>
      </w:tr>
      <w:tr>
        <w:trPr>
          <w:trHeight w:val="234"/>
        </w:trPr>
        <w:tc>
          <w:tcPr>
            <w:tcW w:w="780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Category</w:t>
            </w:r>
          </w:p>
        </w:tc>
        <w:tc>
          <w:tcPr>
            <w:tcW w:w="22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June 30, 2021</w:t>
            </w:r>
          </w:p>
        </w:tc>
      </w:tr>
      <w:tr>
        <w:trPr>
          <w:trHeight w:val="210"/>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57"/>
        </w:trPr>
        <w:tc>
          <w:tcPr>
            <w:tcW w:w="7800" w:type="dxa"/>
            <w:vAlign w:val="bottom"/>
          </w:tcPr>
          <w:p>
            <w:pPr>
              <w:ind w:left="260"/>
              <w:spacing w:after="0"/>
              <w:rPr>
                <w:sz w:val="20"/>
                <w:szCs w:val="20"/>
                <w:color w:val="auto"/>
              </w:rPr>
            </w:pPr>
            <w:r>
              <w:rPr>
                <w:rFonts w:ascii="Arial" w:cs="Arial" w:eastAsia="Arial" w:hAnsi="Arial"/>
                <w:sz w:val="18"/>
                <w:szCs w:val="18"/>
                <w:color w:val="auto"/>
              </w:rPr>
              <w:t>Derivative instruments - interest rate swaps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instruments - FX forward contracts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78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6"/>
        </w:trPr>
        <w:tc>
          <w:tcPr>
            <w:tcW w:w="7800" w:type="dxa"/>
            <w:vAlign w:val="bottom"/>
          </w:tcPr>
          <w:p>
            <w:pPr>
              <w:ind w:left="260"/>
              <w:spacing w:after="0"/>
              <w:rPr>
                <w:sz w:val="20"/>
                <w:szCs w:val="20"/>
                <w:color w:val="auto"/>
              </w:rPr>
            </w:pPr>
            <w:r>
              <w:rPr>
                <w:rFonts w:ascii="Arial" w:cs="Arial" w:eastAsia="Arial" w:hAnsi="Arial"/>
                <w:sz w:val="18"/>
                <w:szCs w:val="18"/>
                <w:color w:val="auto"/>
              </w:rPr>
              <w:t>Derivative instruments - interest rate swaps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instruments - FX forward contracts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32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estimates the fair value of interest rate swap contracts by discounting the future cash flows of both the fixed rate and variable rate interest payments based on market yield curves.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or liabilities measured at fair value as of December 31, 2020.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not elected the fair value measurement option available under U.S. GAAP for any of its assets or liabilities that meet the option for this criteria.</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COMMITMENTS AND CONTINGENCIES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2016, a copywriter lawsuit was filed against Wooga GmbH (a subsidiary of the Company) in the regional court of Berlin, Germany. The Plaintiff is suing for additional remuneration to his contributions for a storyline provided for one of Wooga's games and alleged reuse of parts of that storyline in one of Wooga’s other games. As of June 30, 2021, the Company has recorded in its financial statements a reserve based upon its best estimate outcome. It is possible that any final amounts payable in connection with this lawsuit could exceed the Company’s currently reserved best estimate.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2013, the Company’s subsidiary, Playtika, Ltd., sent an initial demand letter to Enigmatus s.r.o., a game developer in the Czech Republic, which owns various U.S. trademark registrations that resemble the Company’s Sloto-formative trademark names, demanding that it cease use of the trademark Slotopoly. In response, Enigmatus s.r.o. asserted that it was the owner of the Sloto-formative trademarks and denied that its game title infringed the Company’s trademarks. Enigmatus s.r.o. applied to register one of the Company’s trademarks in the United Kingdom and European Union, and the Company successfully opposed its applications. In December 2016, Enigmatus s.r.o., filed a trademark infringement lawsuit, Enigmatus, s.r.o. v. Playtika LTD and Caesars Interactive Entertainment, Inc., against Playtika, Ltd. and Caesars Interactive Entertainment LLC in the Federal Court of Canada asserting that the Company’s use of the Slotomania trademarks violates its proprietary and trademark rights. The plaintiff sought injunctive relief and monetary damages. Pleadings have been exchanged and the lawsuit is in the discovery stage. No trial date has been scheduled. The Company has defended this case vigorously and will continue to do so. As the case is in preliminary stages, the Company cannot estimate what impact, if any, the litigation may have on its results of operations, financial condition or cash flows.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26, 2020, a patent infringement claim was filed against Playtika Holding Corp., Playtika Ltd. and Caesars Interactive Entertainment LLC in U.S. District Court, District of Nevada. The Plaintiff alleged that the defendants are infringing certain patents in the field of communication and the transferring of images between the gaming server and the end device on certain of its social casino games. The Plaintiff is seeking monetary damages. On April 7, 2021, following the Company’s preliminary motions for dismissal and stay, the Company’s motion for stay was approved by the court pending ruling on motions to dismiss. On July 7, 2021, the Court issued an order finding each of the Plaintiff’s asserted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invalid as failing to comply with certain legal requirements and dismissing the lawsuit as to all parties. The Plaintiff has filed an intent to appeal. Playtika Holding Corp. and Playtika Ltd. intend to defend the case vigorously if the Plaintiff appeals the ruling.</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tab/>
        <w:t>REVENUE FROM CONTRACTS WITH CUSTOMERS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provide information about disaggregated revenue by geographic location of the Company’s players and by type of platform (in millions):</w:t>
      </w: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460" w:type="dxa"/>
            <w:vAlign w:val="bottom"/>
            <w:gridSpan w:val="4"/>
          </w:tcPr>
          <w:p>
            <w:pPr>
              <w:jc w:val="right"/>
              <w:ind w:right="90"/>
              <w:spacing w:after="0" w:line="182" w:lineRule="exact"/>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4"/>
          </w:tcPr>
          <w:p>
            <w:pPr>
              <w:jc w:val="right"/>
              <w:ind w:right="730"/>
              <w:spacing w:after="0" w:line="182" w:lineRule="exact"/>
              <w:rPr>
                <w:sz w:val="20"/>
                <w:szCs w:val="20"/>
                <w:color w:val="auto"/>
              </w:rPr>
            </w:pPr>
            <w:r>
              <w:rPr>
                <w:rFonts w:ascii="Arial" w:cs="Arial" w:eastAsia="Arial" w:hAnsi="Arial"/>
                <w:sz w:val="18"/>
                <w:szCs w:val="18"/>
                <w:b w:val="1"/>
                <w:bCs w:val="1"/>
                <w:color w:val="auto"/>
              </w:rPr>
              <w:t>Six months ended</w:t>
            </w:r>
          </w:p>
        </w:tc>
      </w:tr>
      <w:tr>
        <w:trPr>
          <w:trHeight w:val="229"/>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3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location</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6"/>
        </w:trPr>
        <w:tc>
          <w:tcPr>
            <w:tcW w:w="5160" w:type="dxa"/>
            <w:vAlign w:val="bottom"/>
          </w:tcPr>
          <w:p>
            <w:pPr>
              <w:ind w:left="260"/>
              <w:spacing w:after="0"/>
              <w:rPr>
                <w:sz w:val="20"/>
                <w:szCs w:val="20"/>
                <w:color w:val="auto"/>
              </w:rPr>
            </w:pPr>
            <w:r>
              <w:rPr>
                <w:rFonts w:ascii="Arial" w:cs="Arial" w:eastAsia="Arial" w:hAnsi="Arial"/>
                <w:sz w:val="18"/>
                <w:szCs w:val="18"/>
                <w:color w:val="auto"/>
              </w:rPr>
              <w:t>USA</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468.7</w:t>
            </w:r>
          </w:p>
        </w:tc>
        <w:tc>
          <w:tcPr>
            <w:tcW w:w="100" w:type="dxa"/>
            <w:vAlign w:val="bottom"/>
          </w:tcPr>
          <w:p>
            <w:pPr>
              <w:spacing w:after="0"/>
              <w:rPr>
                <w:sz w:val="22"/>
                <w:szCs w:val="22"/>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470.4</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923.4</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845.8</w:t>
            </w: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EMEA</w:t>
            </w: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57"/>
        </w:trPr>
        <w:tc>
          <w:tcPr>
            <w:tcW w:w="5160" w:type="dxa"/>
            <w:vAlign w:val="bottom"/>
          </w:tcPr>
          <w:p>
            <w:pPr>
              <w:ind w:left="260"/>
              <w:spacing w:after="0"/>
              <w:rPr>
                <w:sz w:val="20"/>
                <w:szCs w:val="20"/>
                <w:color w:val="auto"/>
              </w:rPr>
            </w:pPr>
            <w:r>
              <w:rPr>
                <w:rFonts w:ascii="Arial" w:cs="Arial" w:eastAsia="Arial" w:hAnsi="Arial"/>
                <w:sz w:val="18"/>
                <w:szCs w:val="18"/>
                <w:color w:val="auto"/>
              </w:rPr>
              <w:t>APAC</w:t>
            </w: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50"/>
        </w:trPr>
        <w:tc>
          <w:tcPr>
            <w:tcW w:w="516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659.2</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650.5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1,184.7</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Platform type</w:t>
            </w: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Mobile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525.6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522.4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r>
      <w:tr>
        <w:trPr>
          <w:trHeight w:val="257"/>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Web</w:t>
            </w: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133.6</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128.1</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r>
      <w:tr>
        <w:trPr>
          <w:trHeight w:val="275"/>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659.2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650.5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Revenues through third-party platforms and through the Company’s own proprietary platforms were as follows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4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3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6"/>
        </w:trPr>
        <w:tc>
          <w:tcPr>
            <w:tcW w:w="5160" w:type="dxa"/>
            <w:vAlign w:val="bottom"/>
          </w:tcPr>
          <w:p>
            <w:pPr>
              <w:ind w:left="260"/>
              <w:spacing w:after="0"/>
              <w:rPr>
                <w:sz w:val="20"/>
                <w:szCs w:val="20"/>
                <w:color w:val="auto"/>
              </w:rPr>
            </w:pPr>
            <w:r>
              <w:rPr>
                <w:rFonts w:ascii="Arial" w:cs="Arial" w:eastAsia="Arial" w:hAnsi="Arial"/>
                <w:sz w:val="18"/>
                <w:szCs w:val="18"/>
                <w:color w:val="auto"/>
              </w:rPr>
              <w:t>Third-party platforms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524.7</w:t>
            </w:r>
          </w:p>
        </w:tc>
        <w:tc>
          <w:tcPr>
            <w:tcW w:w="100" w:type="dxa"/>
            <w:vAlign w:val="bottom"/>
          </w:tcPr>
          <w:p>
            <w:pPr>
              <w:spacing w:after="0"/>
              <w:rPr>
                <w:sz w:val="22"/>
                <w:szCs w:val="22"/>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566.2</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1,039.2</w:t>
            </w: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Internal proprietary platforms</w:t>
            </w: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134.5</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50"/>
        </w:trPr>
        <w:tc>
          <w:tcPr>
            <w:tcW w:w="516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659.2</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650.5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1,184.7</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Payments from players for virtual items are collected by platform providers or payment processors and remitted to the Company (net of the platform or clearing fees) generally within 45 days after the player transaction. The Company’s right to receive the payments collected by the platform providers or payment processors is recorded as an accounts receivable as the right to receive 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4" w:name="page25"/>
    <w:bookmarkEnd w:id="24"/>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Balances of the Company’s contract assets and liabilities are as follows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8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Contract assets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ind w:left="260" w:hanging="252"/>
        <w:spacing w:after="0" w:line="217" w:lineRule="auto"/>
        <w:tabs>
          <w:tab w:leader="none" w:pos="26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Contract assets are included within prepaid expenses and other current assets in the Company’s consolidated balance sheets.</w:t>
      </w:r>
    </w:p>
    <w:p>
      <w:pPr>
        <w:spacing w:after="0" w:line="1" w:lineRule="exact"/>
        <w:rPr>
          <w:rFonts w:ascii="Arial" w:cs="Arial" w:eastAsia="Arial" w:hAnsi="Arial"/>
          <w:sz w:val="23"/>
          <w:szCs w:val="23"/>
          <w:color w:val="auto"/>
          <w:vertAlign w:val="superscript"/>
        </w:rPr>
      </w:pPr>
    </w:p>
    <w:p>
      <w:pPr>
        <w:ind w:left="660" w:right="20" w:hanging="652"/>
        <w:spacing w:after="0" w:line="219" w:lineRule="auto"/>
        <w:tabs>
          <w:tab w:leader="none" w:pos="332"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Contract liabilities are included within accrued expenses and other current liabilities as “deferred revenues” in the Company’s consolidated balance sheets.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the Company recognized the all of its contract liabilities balance as of December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unsatisfied performance obligations relate to contracts with an original expected length of one year or less.</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APPRECIATION AND RETENTION PLAN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2019, the Board approved the 2021-2024 Retention Plan. Under the 2021-2024 Retention Plan, eligible employees may be granted retention units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Adjusted EBITDA in each of the plan years, determined as follows: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2021, (A) 14% of the 2021-2024 Retention Plan Adjusted EBITDA for such calendar year, less (B) $25,000,000.</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2022, (A) 14.5% of the 2021-2024 Retention Plan Adjusted EBITDA for such calendar year, less (B) $25,000,000.</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each of 2023 and 2024, (A) 15.0% of the 2021-2024 Retention Plan Adjusted EBITDA for such calendar year, less (B) $25,000,000.</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Initial awards were granted under the 2021-2024 Retention Plan in August 2019, with subsequent awards to employees or consultants hired or retained after such date granted at the discretion of the administrator.</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certain participants in the event of the participant’s termination without cause or resignation for good reason, or termination by reason of death or disability, he or she will be eligible to receive a lump sum cash payment equal to his or her proportionate share (based on the number of retention units outstanding and eligible for payment as of such date) of the unpaid portion of the total retention pool for the remaining term of the 2021-2024 Retention Plan as of the date of termination, which amount shall be paid in cash within 60 days following the date of termination. In the event of such a termination, such participant will also remain eligible to receive payments in respect of his or her appreciation units for all vesting dates that have not yet occurred prior to the date of such termination, which payments will be made as and when such payments are made to other appreciation unit holders.</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all other participants, in the event of termination due to death or disability on or after January 1, 2021, but prior to December 31, 2024, the participant will receive a payment in respect of his or her proportionate share (based on the number of retention units outstanding and eligible for payment as of such date) of the unpaid portion of the total retention pool for the remaining term of the 2021-2024 Retention Plan as of the date of termination, pro-rated for the portion of the period between January 1, 2021 and December 31, 2024 that has elapsed prior to termination, payable within 60 days following termination. In addition, the participant will retain the right to receive payments for a pro-rated portion of his or her appreciation units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all vesting dates that have not yet occurred prior to the date of such termination, which payments will be made as and when such payments are made to other appreciation unit holders.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payments triggered by a termination of employment or service will be subject to the execution of a general release of claims in favor of the Company. If a participant terminates service for any reason other than as described above, the participant will immediately forfeit all unvested retention units and appreciation units.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43,000 appreciation units under the 2021-2024 Retention Plan were cancelled. Pursuant to an amendment to the 2017-2020 Retention Plan adopted in October 2020, these cancelled appreciation units are considered “retired units” for purposes of the plan, and will be deemed to be outstanding and eligible for payment solely for purposes of determining the per unit value to be paid to participants, but no amounts will be paid with respect to such retired units.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compensation expenses in respect of retention bonus and appreciation unit awards under its appreciation and retention plans of $30.2 million and $21.2 million during the three months ended June 30, 2021 and 2020, respectively, and $60.0 million and $32.2 million during the six months ended June 30, 2021 and 2020, respectively.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also granted retention awards to key individuals associated with acquired companies as an incentive to retain those individuals on a long-term basis. The Company recognized compensation expenses associated with these development-related retention payments of $3.7 million and $4.6 million during the three months ended June 30, 2021 and 2020, respectively, and $6.8 million and $9.5 million during the six months ended June 30, 2021 and 2020,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NOTE 13.  INTEREST EXPENSE AND OTHER, NET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00" w:type="dxa"/>
            <w:vAlign w:val="bottom"/>
          </w:tcPr>
          <w:p>
            <w:pPr>
              <w:spacing w:after="0"/>
              <w:rPr>
                <w:sz w:val="20"/>
                <w:szCs w:val="20"/>
                <w:color w:val="auto"/>
              </w:rPr>
            </w:pPr>
            <w:r>
              <w:rPr>
                <w:rFonts w:ascii="Arial" w:cs="Arial" w:eastAsia="Arial" w:hAnsi="Arial"/>
                <w:sz w:val="18"/>
                <w:szCs w:val="18"/>
                <w:color w:val="auto"/>
              </w:rPr>
              <w:t>Interest expense and other, net are as follows (in millions):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8"/>
          </w:tcPr>
          <w:p>
            <w:pPr>
              <w:jc w:val="right"/>
              <w:ind w:right="620"/>
              <w:spacing w:after="0" w:line="202" w:lineRule="exact"/>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6"/>
          </w:tcPr>
          <w:p>
            <w:pPr>
              <w:jc w:val="right"/>
              <w:ind w:right="73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23.1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net</w:t>
            </w:r>
          </w:p>
        </w:tc>
        <w:tc>
          <w:tcPr>
            <w:tcW w:w="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7"/>
        </w:trPr>
        <w:tc>
          <w:tcPr>
            <w:tcW w:w="48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interest expense and other, net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4"/>
                <w:szCs w:val="24"/>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24.0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14.  INCOME TAXES</w:t>
            </w: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8"/>
          </w:tcPr>
          <w:p>
            <w:pPr>
              <w:jc w:val="center"/>
              <w:ind w:right="600"/>
              <w:spacing w:after="0"/>
              <w:rPr>
                <w:sz w:val="20"/>
                <w:szCs w:val="20"/>
                <w:color w:val="auto"/>
              </w:rPr>
            </w:pPr>
            <w:r>
              <w:rPr>
                <w:rFonts w:ascii="Arial" w:cs="Arial" w:eastAsia="Arial" w:hAnsi="Arial"/>
                <w:sz w:val="18"/>
                <w:szCs w:val="18"/>
                <w:b w:val="1"/>
                <w:bCs w:val="1"/>
                <w:color w:val="auto"/>
                <w:w w:val="89"/>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6"/>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 except tax rate)</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50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(64.5)%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effective income tax rate for the three months ended June 30, 2021 was 36.4% compared to (18.3)% for the three months ended June 30, 2020. The effective income tax rate for the six months ended June 30, 2021 was 35.9% compared to (64.5)% for the six months ended June 30, 2020. The effective tax rates were determined using a worldwide estimated annual effective tax rate and took discrete items into consideration. The primary differences between the effective tax rate and the 21% federal statutory rate for the three and six months ended June 30, 2021 include tax positions that do not meet the more likely than not standard, the impact of repatriation of the undistributed earnings of certain foreign subsidiaries and tax rates in foreign jurisdictions &amp; the relative amounts of income earned in those jurisdictions. The primary differences between the effective tax rate and the 21% federal statutory rate for the three and six months ended June 30, 2020 were tax rates in foreign jurisdictions &amp; the relative amounts of income earned in those jurisdictions and significant non-deductible stock-based compensation expense for certain restricted stock units granted during the period.</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6" w:name="page27"/>
    <w:bookmarkEnd w:id="26"/>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monitor tax implications resulting from new legislation passed in response to the COVID-19 pandemic in the federal, state and foreign jurisdictions where it has an income tax expense. The impact of COVID-19 pandemic related tax-measures recently enacted were not material for the three and six months ended June 30, 2021.</w:t>
      </w:r>
    </w:p>
    <w:p>
      <w:pPr>
        <w:spacing w:after="0" w:line="20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ACCUMULATED OTHER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changes in accumulated other comprehensive income (loss) by component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Foreign Currency</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Interest Rate</w:t>
            </w: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Forward</w:t>
            </w:r>
          </w:p>
        </w:tc>
        <w:tc>
          <w:tcPr>
            <w:tcW w:w="320" w:type="dxa"/>
            <w:vAlign w:val="bottom"/>
          </w:tcPr>
          <w:p>
            <w:pPr>
              <w:spacing w:after="0"/>
              <w:rPr>
                <w:sz w:val="17"/>
                <w:szCs w:val="17"/>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Swaps</w:t>
            </w: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2021</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1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76"/>
        </w:trPr>
        <w:tc>
          <w:tcPr>
            <w:tcW w:w="5160" w:type="dxa"/>
            <w:vAlign w:val="bottom"/>
          </w:tcPr>
          <w:p>
            <w:pPr>
              <w:ind w:left="26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18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160" w:type="dxa"/>
            <w:vAlign w:val="bottom"/>
          </w:tcPr>
          <w:p>
            <w:pPr>
              <w:ind w:left="520"/>
              <w:spacing w:after="0"/>
              <w:rPr>
                <w:sz w:val="20"/>
                <w:szCs w:val="20"/>
                <w:color w:val="auto"/>
              </w:rPr>
            </w:pPr>
            <w:r>
              <w:rPr>
                <w:rFonts w:ascii="Arial" w:cs="Arial" w:eastAsia="Arial" w:hAnsi="Arial"/>
                <w:sz w:val="18"/>
                <w:szCs w:val="18"/>
                <w:color w:val="auto"/>
              </w:rPr>
              <w:t>income (loss)</w:t>
            </w: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16.</w:t>
        <w:tab/>
        <w:t>NET INCOME (LOSS) ATTRIBUTABLE TO COMMON STOCKHOLDERS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(in millions, except per share data):</w:t>
      </w: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3080" w:type="dxa"/>
            <w:vAlign w:val="bottom"/>
            <w:gridSpan w:val="6"/>
          </w:tcPr>
          <w:p>
            <w:pPr>
              <w:ind w:left="700"/>
              <w:spacing w:after="0" w:line="182"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5"/>
                <w:szCs w:val="15"/>
                <w:color w:val="auto"/>
              </w:rPr>
            </w:pPr>
          </w:p>
        </w:tc>
        <w:tc>
          <w:tcPr>
            <w:tcW w:w="2680" w:type="dxa"/>
            <w:vAlign w:val="bottom"/>
            <w:gridSpan w:val="4"/>
          </w:tcPr>
          <w:p>
            <w:pPr>
              <w:jc w:val="right"/>
              <w:ind w:right="730"/>
              <w:spacing w:after="0" w:line="18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w w:val="96"/>
              </w:rPr>
              <w:t>Weighted-average shares used in computing net income (loss) per</w:t>
            </w:r>
          </w:p>
        </w:tc>
        <w:tc>
          <w:tcPr>
            <w:tcW w:w="9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3"/>
              </w:rPr>
              <w:t>409.6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share attributable to common stockholders, basic</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Weighted-average shares used in computing net income (loss) per</w:t>
            </w:r>
          </w:p>
        </w:tc>
        <w:tc>
          <w:tcPr>
            <w:tcW w:w="9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411.7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 attributable to common stockholders, diluted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 per share, basic</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diluted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outstanding employee equity awards were excluded from the calculation of diluted net income (loss) per share because their effect would have been anti-dilutive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98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7,637,213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12,399,109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8,090,000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performed a review for subsequent events through the date of these financial statements and noted no other material items for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7" w:right="659" w:bottom="1440" w:gutter="0" w:footer="0" w:header="0"/>
        </w:sectPr>
      </w:pPr>
    </w:p>
    <w:bookmarkStart w:id="28" w:name="page29"/>
    <w:bookmarkEnd w:id="28"/>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We own some of the most iconic free-to-play mobile games in the world, many of which are the #1 games in their respective genres, based on total in-app purchases on iOS App Store and Google Play Store for the six months ended June 30, 2021 worldwide, according to App Annie. Our players love our games because they are fun, creative, engaging, and kept fresh through a steady release of new features that are customized for different player segments.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primarily derive revenue from the sale of virtual items associated with online games.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distribute our games to the end customer through various web and mobile platforms, such as Apple, Facebook, Google and other web and mobile platforms plus our own proprietary platforms. 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games are played primarily on various third-party platforms for which the platform providers collect proceeds from our customers and pay us an amount after deducting platform fees.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includes payment processing fees, customer support, hosting fees and depreciation and amortization expenses associated with assets directly involved in the generation of revenues, primarily servers. Platform providers (such as Apple, Facebook and Google) charge a transactional payment processing fee to accept payments from our players for the purchase of in-app virtual goods. Payment processing fees and other related expenses for in-app purchases made through our proprietary platforms are typically 3-4%, compared to a 30% platform fee for third party platforms. We generally expect cost of revenue to fluctuate proportionately with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research and development expenses will increase in absolute dollars as our business expands and as we increase our personnel headcount to support the expected growth in our technical development and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consists of costs related to advertising and user acquisition, including costs related to salaries, bonuses, benefits, and other compensation, including stock-based compensation and allocated overhead. In addition, sales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marketing expenses include depreciation and amortization expenses associated with assets related to our sales and marketing efforts. We plan to continue to invest in sales and marketing to retain and acquire users. However, sales and marketing expenses may fluctuate as a percentage of revenues depending on the timing and efficiency of our marketing efforts.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 expense categories above. We also record adjustments to contingent consideration payable recorded after the acquisition date, and legal settlement expenses, as components of general and administrative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net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Interest expense is primarily related to borrowings under our Credit Agreement dated as of December 10, 2019 (the "Credit Agreement"). We amended our Credit Agreement in March 2021, including amending the interest rates thereunder. Our interest expense includes amortization of deferred financing costs and is offset by interest income earned on the investment of excess cash and cash equivalents and short-term bank deposits. We expect to continue to incur interest expense under our Credit Agreement, although such interest expense will fluctuate based upon the underlying variable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income taxes consists of income taxes in the various jurisdictions where we are subject to taxation, primarily the United States, the United Kingdom and Israel and was determined using a worldwide estimated annual effective tax rate and took discrete items into consideration. Under current U.S. tax law, the federal statutory tax rate applicable to corporations is 21%. Our effective tax rate can fluctuate based on various factors, including our financial results and the geographic mix to which they relate, the applicability of special tax regimes, changes in our business or operations, examination-related developments and changes in tax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 of Playtika Holding Corp</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the performance of our business by using several key financial metrics, including revenue, and operating metrics, including Daily Paying Users, Daily Active Users, Daily Payer Conversion, Average Revenue per Daily Active User, and Monthly Active Users. These operating metrics help our management to understand and measure the engagement levels of the our players, the size of our audience and our reach.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Active Users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Daily Active Users, or DAUs, as the number of individuals who played one of our games during a particular day. Under this metric, an individual who plays two different games on the same day is counted as two DAUs. Similarly, an individual who plays the same game on two different platforms (e.g., web and mobile) or on two different social networks on the same day would be counted as two Daily Active Users. Average Daily Active Users for a particular period is the average of the DAUs for each day during that period. We believe that Daily Active Users is a useful metric to measure the scale and usage of our game platform.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Paying Users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define Daily Paying Users, or DPUs, as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would be counted as two DPUs. Average DPUs for a particular period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average of the DPUs for each day during that period. We believe that Daily Paying Users is a useful metric to measure game monetization.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Payer Conversion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Daily Payer Conversion as (i) the total number of DPUs, (ii) divided by the number of DAUs on a particular day. Average Daily Payer Conversion for a particular period is the average of the Daily Payer Conversion rates for each day during that period. We believe that Daily Payer Conversion is a useful metric to describe the monetization of our users.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Daily Active User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Average Revenue per Daily Active User, or ARPDAU, as (i) the total revenue in a given period, (ii) divided by the number of days in that period, (iii) divided by the average DAUs during the period. We believe that ARPDAU is a useful metric to describe monetization.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Monthly Active Users, or MAUs, as the number of individuals who played one of our games during a calendar month.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MAUs. Average Monthly Active Users for a particular period is the average of the MAUs for each month during that period. We believe that Monthly Active Users is a useful metric to measure the scale and reach of our platform, but we base our business decisions primarily on daily performance metrics, which we believe more accurately reflect user engagement with our games.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table below shows the results of our key financial and operating metrics for the periods indicated. Unless otherwise indicated, financial metrics are presented in millions of U.S. Dollars, user statistics are presented in millions of users, and ARPDAU is presented in U.S. Dollars.</w:t>
      </w: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ind w:left="440"/>
              <w:spacing w:after="0" w:line="182" w:lineRule="exact"/>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5"/>
                <w:szCs w:val="15"/>
                <w:color w:val="auto"/>
              </w:rPr>
            </w:pPr>
          </w:p>
        </w:tc>
        <w:tc>
          <w:tcPr>
            <w:tcW w:w="2820" w:type="dxa"/>
            <w:vAlign w:val="bottom"/>
            <w:gridSpan w:val="4"/>
          </w:tcPr>
          <w:p>
            <w:pPr>
              <w:jc w:val="right"/>
              <w:ind w:right="810"/>
              <w:spacing w:after="0" w:line="182" w:lineRule="exact"/>
              <w:rPr>
                <w:sz w:val="20"/>
                <w:szCs w:val="20"/>
                <w:color w:val="auto"/>
              </w:rPr>
            </w:pPr>
            <w:r>
              <w:rPr>
                <w:rFonts w:ascii="Arial" w:cs="Arial" w:eastAsia="Arial" w:hAnsi="Arial"/>
                <w:sz w:val="18"/>
                <w:szCs w:val="18"/>
                <w:b w:val="1"/>
                <w:bCs w:val="1"/>
                <w:color w:val="auto"/>
              </w:rPr>
              <w:t>Six months ended</w:t>
            </w:r>
          </w:p>
        </w:tc>
      </w:tr>
      <w:tr>
        <w:trPr>
          <w:trHeight w:val="230"/>
        </w:trPr>
        <w:tc>
          <w:tcPr>
            <w:tcW w:w="4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percentages, Average DPUs and ARPDAU)</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659.2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1,184.7</w:t>
            </w: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Total cost and expenses</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493.8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722.5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1,143.5</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41.2</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264.4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283.2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469.4</w:t>
            </w:r>
          </w:p>
        </w:tc>
      </w:tr>
      <w:tr>
        <w:trPr>
          <w:trHeight w:val="216"/>
        </w:trPr>
        <w:tc>
          <w:tcPr>
            <w:tcW w:w="4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Non-financial performance metrics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DAUs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w:t>
            </w: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Average DPUs (in thousands)</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293</w:t>
            </w: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Daily Payer Conversion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ARPDAU</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0.56</w:t>
            </w: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MAUs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versus the three and six months ended June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2440" w:type="dxa"/>
            <w:vAlign w:val="bottom"/>
            <w:gridSpan w:val="6"/>
            <w:vMerge w:val="restart"/>
          </w:tcPr>
          <w:p>
            <w:pPr>
              <w:ind w:left="40"/>
              <w:spacing w:after="0"/>
              <w:rPr>
                <w:sz w:val="20"/>
                <w:szCs w:val="20"/>
                <w:color w:val="auto"/>
              </w:rPr>
            </w:pPr>
            <w:r>
              <w:rPr>
                <w:rFonts w:ascii="Arial" w:cs="Arial" w:eastAsia="Arial" w:hAnsi="Arial"/>
                <w:sz w:val="18"/>
                <w:szCs w:val="18"/>
                <w:b w:val="1"/>
                <w:bCs w:val="1"/>
                <w:color w:val="auto"/>
                <w:w w:val="93"/>
              </w:rPr>
              <w:t>Three months ended June 30,</w:t>
            </w:r>
          </w:p>
        </w:tc>
        <w:tc>
          <w:tcPr>
            <w:tcW w:w="240" w:type="dxa"/>
            <w:vAlign w:val="bottom"/>
          </w:tcPr>
          <w:p>
            <w:pPr>
              <w:spacing w:after="0"/>
              <w:rPr>
                <w:sz w:val="17"/>
                <w:szCs w:val="17"/>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19"/>
                <w:szCs w:val="19"/>
                <w:color w:val="auto"/>
              </w:rPr>
            </w:pPr>
          </w:p>
        </w:tc>
        <w:tc>
          <w:tcPr>
            <w:tcW w:w="2440" w:type="dxa"/>
            <w:vAlign w:val="bottom"/>
            <w:gridSpan w:val="6"/>
            <w:vMerge w:val="continue"/>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(Unaudited)</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Cost of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60" w:type="dxa"/>
            <w:vAlign w:val="bottom"/>
            <w:vMerge w:val="continue"/>
          </w:tcPr>
          <w:p>
            <w:pPr>
              <w:spacing w:after="0"/>
              <w:rPr>
                <w:sz w:val="17"/>
                <w:szCs w:val="17"/>
                <w:color w:val="auto"/>
              </w:rPr>
            </w:pPr>
          </w:p>
        </w:tc>
        <w:tc>
          <w:tcPr>
            <w:tcW w:w="24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183.9</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192.6</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366.9</w:t>
            </w:r>
          </w:p>
        </w:tc>
        <w:tc>
          <w:tcPr>
            <w:tcW w:w="10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23"/>
        </w:trPr>
        <w:tc>
          <w:tcPr>
            <w:tcW w:w="6460" w:type="dxa"/>
            <w:vAlign w:val="bottom"/>
          </w:tcPr>
          <w:p>
            <w:pPr>
              <w:ind w:left="680"/>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for the three months ended June 30, 2021 increased by $8.7 million when compared with the same period of 2020. Revenues for the six months ended June 30, 2021 increased by $113.4 million when compared with the same period of 2020. The increase in revenues was primarily due to our ongoing improvements to monetization, new content and product features, and increased engagement across our broader portfolio of games.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revenue for the three month ended June 30, 2021 decreased by $8.7 million when compared with the same period of 2020, primarily as a result of a larger percentage of our revenues being derived through our proprietary platforms where we pay lower fees to facilitate the revenue transactions.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six months ended June 30, 2021 increased by $8.4 million when compared with the same period of 2020. The increase in cost of revenue was primarily due to increased platform fees associated with increased revenues and increased amortization expense for recently capitalized software development costs, both of which were partially offset by the reduced platform fees associated with a higher percentage of our revenues being derived through our proprietary platforms.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expenses for the three and six months ended June 30, 2021 increased by $26.0 million and $50.4 million, respectively, when compared with the same periods of 2020. The formula for determining the payment amounts under the 2017-2020 retention plan resulted in expense under that plan being recognized on an accelerated basis, with higher expense recognized in the earlier years of the plan. Based upon a change to the structure of how award payments are determined within the terms of the Playtika Holding Corp. Retention Plan (the “2021-2024 Retention Plan”) as compared to the 2017-2020 plan, expense under the current plan is required to be recognized ratably over the term of the plan. As a result, when comparing the three and six month periods ended June 30, 2021 with the same periods of 2020, long-term compensation expense under the respective retention plan included within research and development expenses has increased by approximately $1.5 million and $3.1 million, respectively. In addition, the introduction of stock-based compensation plans has resulted in approximately $7.0 million and $13.5 million, respectively, in additional research and development expense for the three and six month periods ended June 30, 2021 when compared to the same periods of 2020. The remaining increase in research and development expenses was primarily due to increased headcount and payroll costs, partially offset by a reduction in our third-party hosting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and marketing expenses for the three and six months ended June 30, 2021 increased by $20.7 million and $35.5 million, respectively, when compared with the same period of 2020. As discussed above, the accelerated recognition of long-term compensation expense under the 2017-2020 retention plan as opposed to the ratable recognition of such expense under the 2021-2024 Retention Plan resulted in an increase in expense within sales and marketing expenses of approximately $2.8 million and $6.1 million, respectively, when comparing the three and six month periods ended June 30, 2021 with the prior year periods. In addition, our stock-based compensation plans resulted in approximately $3.2 million and $6.0 million, respectively, in additional sales and marketing expense for the three and six month periods ended June 30, 2021, when compared with the prior year periods. The remaining increases in sales and marketing expenses for both the three and six month periods ending June 30, 2021 were primarily due to increased headcount and payroll costs, and increased media buy 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General and administrative expenses for the three and six months ended June 30, 2021 decreased by $266.7 million and $235.4 million, respectively, when compared with the same period of 2020. General and Administrative expense includes $15.3 million and $30.3 million, respectively, of stock-based compensation expense for the three and six months ended June 30, 2021, as compared with $260.3 million and $260.3 million, respectively, for the comparable periods of 2020. Also included in general and administrative expenses for the three and six months ended June 30, 2020, with no comparable amounts for the same periods of 2021, are expenses associated with a legal settlement of approximately $37.6 million. Also included in general and administrative expenses for the six months ended June 30, 2020 are expenses for contingent consideration and merger and acquisition related activity of approximately $29.9 million, compared with $6.8 million for the six months ended June 30, 2021. Included in general and administrative expenses for the six months ended June 30, 2021, with no comparable amounts for the six months ended June 30, 2020, are bonus expenses of approximately $35.2 million paid as a result of the successful initial public offering of the Company’s stock in January 2021. Adjusting for these items, general and administrative expenses for the three and six months ended June 30, 2021 would have increased by $15.9 million and $20.1 million, respectively, when compared to the same periods of 2020. These increases were a result of an increase in long-term compensation expense under the retention plan, partially offset by other immaterial changes.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Other Factors Affecting Net Income</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2"/>
        </w:trPr>
        <w:tc>
          <w:tcPr>
            <w:tcW w:w="5160" w:type="dxa"/>
            <w:vAlign w:val="bottom"/>
          </w:tcPr>
          <w:p>
            <w:pPr>
              <w:spacing w:after="0"/>
              <w:rPr>
                <w:sz w:val="17"/>
                <w:szCs w:val="17"/>
                <w:color w:val="auto"/>
              </w:rPr>
            </w:pPr>
          </w:p>
        </w:tc>
        <w:tc>
          <w:tcPr>
            <w:tcW w:w="2500" w:type="dxa"/>
            <w:vAlign w:val="bottom"/>
            <w:gridSpan w:val="3"/>
          </w:tcPr>
          <w:p>
            <w:pPr>
              <w:jc w:val="center"/>
              <w:ind w:left="390"/>
              <w:spacing w:after="0" w:line="202" w:lineRule="exact"/>
              <w:rPr>
                <w:sz w:val="20"/>
                <w:szCs w:val="20"/>
                <w:color w:val="auto"/>
              </w:rPr>
            </w:pPr>
            <w:r>
              <w:rPr>
                <w:rFonts w:ascii="Arial" w:cs="Arial" w:eastAsia="Arial" w:hAnsi="Arial"/>
                <w:sz w:val="18"/>
                <w:szCs w:val="18"/>
                <w:b w:val="1"/>
                <w:bCs w:val="1"/>
                <w:color w:val="auto"/>
                <w:w w:val="89"/>
              </w:rPr>
              <w:t>Three months ended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gridSpan w:val="3"/>
          </w:tcPr>
          <w:p>
            <w:pPr>
              <w:jc w:val="center"/>
              <w:ind w:right="390"/>
              <w:spacing w:after="0" w:line="202" w:lineRule="exact"/>
              <w:rPr>
                <w:sz w:val="20"/>
                <w:szCs w:val="20"/>
                <w:color w:val="auto"/>
              </w:rPr>
            </w:pPr>
            <w:r>
              <w:rPr>
                <w:rFonts w:ascii="Arial" w:cs="Arial" w:eastAsia="Arial" w:hAnsi="Arial"/>
                <w:sz w:val="18"/>
                <w:szCs w:val="18"/>
                <w:b w:val="1"/>
                <w:bCs w:val="1"/>
                <w:color w:val="auto"/>
                <w:w w:val="87"/>
              </w:rPr>
              <w:t>Six months ended</w:t>
            </w:r>
          </w:p>
        </w:tc>
      </w:tr>
      <w:tr>
        <w:trPr>
          <w:trHeight w:val="230"/>
        </w:trPr>
        <w:tc>
          <w:tcPr>
            <w:tcW w:w="5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19"/>
                <w:szCs w:val="19"/>
                <w:color w:val="auto"/>
              </w:rPr>
            </w:pPr>
          </w:p>
        </w:tc>
      </w:tr>
      <w:tr>
        <w:trPr>
          <w:trHeight w:val="223"/>
        </w:trPr>
        <w:tc>
          <w:tcPr>
            <w:tcW w:w="5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(Unaudited)</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5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57"/>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net</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the Company refinanced its existing term loan with a combination of a new term loan and fixed-rate senior notes. The refinancing transaction was considered a debt-modification for accounting purposes. As a result, a portion of the original issue discount incurred when the original term loan was entered into has been carried over to the new term loan, and approximately $22.9 million of this original issue discount was written off as interest expense during the first quarter 2021. In addition, the Company recorded approximately $14.5 million in expense associated with the Refinancing Transaction. Prior to these one-time charges to interest expense, interest expense for the six months ended June 30, 2021 was lower than interest expense in the same period of 2020 due to lower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effective income tax rate for the three months ended June 30, 2021 was 36.4% compared to (18.3)% for the three months ended June 30, 2020. The effective income tax rate for the six months ended June 30, 2021 was 35.9% compared to (64.5)% for the six months ended June 30, 2020. The effective tax rates were determined using a worldwide estimated annual effective tax rate and took discrete items into consideration. The primary differences between the effective tax rate and the 21% federal statutory rate for the three and six months ended June 30, 2021 include tax positions that do not meet the more likely than not standard, the impact of repatriation of the undistributed earnings of certain foreign subsidiaries and tax rates in foreign jurisdictions &amp; the relative amounts of income earned in those jurisdictions. The primary differences between the effective tax rate and the 21% federal statutory rate for the three and six months ended June 30, 2020 were tax rates in foreign jurisdictions &amp; the relative amounts of income earned in those jurisdictions and significant non-deductible stock-based compensation expense for certain restricted stock units granted during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to Net Income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is a non-GAAP financial measure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Below is a reconciliation of Adjusted EBITDA to net income, the closest GAAP financial measure. We define Adjusted EBITDA as net income before (i) interest expense, (ii) interest income, (iii) provision for income taxes, (iv) depreciation and amortization expense, (v) stock-based compensation, (vi) legal settlements, (vii) contingent consideration, (viii) acquisition and related expenses, (ix) expense under our long-term compensation plans, (x) M&amp;A-related retention payments, and (xi) certain other items, including impairments. We calculate Adjusted EBITDA Margin as Adjusted EBITDA divided by revenues.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supplementally present Adjusted EBITDA and Adjusted EBITDA Margin because these are key operating measures used by our management to assess our financial performance. Adjusted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Adjusted EBITDA and Adjusted EBITDA Margin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Adjusted EBITDA and Adjusted EBITDA Margin to supplement GAAP measures of performance in the evaluation of the effectiveness of our business strategies, to make budgeting decisions, and to compare our performance against other peer companies using similar measures. We evaluate Adjusted EBITDA and Adjusted EBITDA Margin in conjunction with our results according to GAAP because we believe they provide investors and analysts a more complete understanding of factors and trends affecting our business than GAAP measures alone.</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and Adjusted EBITDA Margin as calculated herein may not be comparable to similarly titled measures reported by other companies within the industry and are not determined in accordance with GAAP. Our presentation of Adjusted EBITDA and Adjusted EBITDA Margin should not be construed as an inference that our future results will be unaffected by unusual or unexpected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8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(103.8)</w:t>
            </w: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40.7</w:t>
            </w: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and other,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104.3</w:t>
            </w:r>
          </w:p>
        </w:tc>
      </w:tr>
      <w:tr>
        <w:trPr>
          <w:trHeight w:val="229"/>
        </w:trPr>
        <w:tc>
          <w:tcPr>
            <w:tcW w:w="48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56.7</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97.9</w:t>
            </w:r>
          </w:p>
        </w:tc>
      </w:tr>
      <w:tr>
        <w:trPr>
          <w:trHeight w:val="229"/>
        </w:trPr>
        <w:tc>
          <w:tcPr>
            <w:tcW w:w="4820" w:type="dxa"/>
            <w:vAlign w:val="bottom"/>
          </w:tcPr>
          <w:p>
            <w:pPr>
              <w:ind w:left="26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260.3</w:t>
            </w:r>
          </w:p>
        </w:tc>
      </w:tr>
      <w:tr>
        <w:trPr>
          <w:trHeight w:val="229"/>
        </w:trPr>
        <w:tc>
          <w:tcPr>
            <w:tcW w:w="48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Acquisition and related expenses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w:t>
            </w:r>
          </w:p>
        </w:tc>
      </w:tr>
      <w:tr>
        <w:trPr>
          <w:trHeight w:val="230"/>
        </w:trPr>
        <w:tc>
          <w:tcPr>
            <w:tcW w:w="4820" w:type="dxa"/>
            <w:vAlign w:val="bottom"/>
          </w:tcPr>
          <w:p>
            <w:pPr>
              <w:ind w:left="260"/>
              <w:spacing w:after="0" w:line="230" w:lineRule="exact"/>
              <w:rPr>
                <w:sz w:val="20"/>
                <w:szCs w:val="20"/>
                <w:color w:val="auto"/>
              </w:rPr>
            </w:pPr>
            <w:r>
              <w:rPr>
                <w:rFonts w:ascii="Arial" w:cs="Arial" w:eastAsia="Arial" w:hAnsi="Arial"/>
                <w:sz w:val="18"/>
                <w:szCs w:val="18"/>
                <w:color w:val="auto"/>
              </w:rPr>
              <w:t>Legal settlement</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37.6</w:t>
            </w:r>
          </w:p>
        </w:tc>
      </w:tr>
      <w:tr>
        <w:trPr>
          <w:trHeight w:val="229"/>
        </w:trPr>
        <w:tc>
          <w:tcPr>
            <w:tcW w:w="48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Long-term cash compensation</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32.2</w:t>
            </w:r>
          </w:p>
        </w:tc>
      </w:tr>
      <w:tr>
        <w:trPr>
          <w:trHeight w:val="230"/>
        </w:trPr>
        <w:tc>
          <w:tcPr>
            <w:tcW w:w="4820" w:type="dxa"/>
            <w:vAlign w:val="bottom"/>
          </w:tcPr>
          <w:p>
            <w:pPr>
              <w:ind w:left="260"/>
              <w:spacing w:after="0" w:line="230" w:lineRule="exact"/>
              <w:rPr>
                <w:sz w:val="20"/>
                <w:szCs w:val="20"/>
                <w:color w:val="auto"/>
              </w:rPr>
            </w:pPr>
            <w:r>
              <w:rPr>
                <w:rFonts w:ascii="Arial" w:cs="Arial" w:eastAsia="Arial" w:hAnsi="Arial"/>
                <w:sz w:val="18"/>
                <w:szCs w:val="18"/>
                <w:color w:val="auto"/>
              </w:rPr>
              <w:t>M&amp;A related retention payments</w:t>
            </w:r>
            <w:r>
              <w:rPr>
                <w:rFonts w:ascii="Arial" w:cs="Arial" w:eastAsia="Arial" w:hAnsi="Arial"/>
                <w:sz w:val="23"/>
                <w:szCs w:val="23"/>
                <w:color w:val="auto"/>
                <w:vertAlign w:val="superscript"/>
              </w:rPr>
              <w:t>(5)</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9.5</w:t>
            </w: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one-time items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264.4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469.4</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margin</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Adjusted EBITDA margin</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40.1 %</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39.6 %</w:t>
            </w: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14" w:lineRule="exact"/>
        <w:rPr>
          <w:sz w:val="20"/>
          <w:szCs w:val="20"/>
          <w:color w:val="auto"/>
        </w:rPr>
      </w:pPr>
    </w:p>
    <w:p>
      <w:pPr>
        <w:ind w:left="660" w:right="20" w:hanging="652"/>
        <w:spacing w:after="0" w:line="224" w:lineRule="auto"/>
        <w:tabs>
          <w:tab w:leader="none" w:pos="319"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Reflects, for the three and six months ended June 30, 2021 and 2020, stock-based compensation expense related to the issuance of equity awards to certain of our employees.</w:t>
      </w:r>
    </w:p>
    <w:p>
      <w:pPr>
        <w:spacing w:after="0" w:line="1" w:lineRule="exact"/>
        <w:rPr>
          <w:rFonts w:ascii="Arial" w:cs="Arial" w:eastAsia="Arial" w:hAnsi="Arial"/>
          <w:sz w:val="23"/>
          <w:szCs w:val="23"/>
          <w:color w:val="auto"/>
          <w:vertAlign w:val="superscript"/>
        </w:rPr>
      </w:pPr>
    </w:p>
    <w:p>
      <w:pPr>
        <w:ind w:left="660" w:hanging="652"/>
        <w:spacing w:after="0" w:line="234" w:lineRule="auto"/>
        <w:tabs>
          <w:tab w:leader="none" w:pos="332"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Amounts for the six months ended June 30, 2021 primarily relate to bonus expenses paid as a result of the successful initial public offering of the Company’s stock in January 2021. Amounts for the three and six months ended June 30, 2020 include (i) contingent consideration expense with respect to our acquisitions of Seriously and Supertreat, and (ii) third-party fees for actual or planned acquisitions, including related legal, consulting and other expenditures.</w:t>
      </w:r>
    </w:p>
    <w:p>
      <w:pPr>
        <w:ind w:left="260" w:hanging="252"/>
        <w:spacing w:after="0" w:line="196" w:lineRule="auto"/>
        <w:tabs>
          <w:tab w:leader="none" w:pos="26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Reflects a legal settlement expense of $37.6 million for the three and six months ended June 30, 2020.</w:t>
      </w:r>
    </w:p>
    <w:p>
      <w:pPr>
        <w:spacing w:after="0" w:line="1" w:lineRule="exact"/>
        <w:rPr>
          <w:rFonts w:ascii="Arial" w:cs="Arial" w:eastAsia="Arial" w:hAnsi="Arial"/>
          <w:sz w:val="23"/>
          <w:szCs w:val="23"/>
          <w:color w:val="auto"/>
          <w:vertAlign w:val="superscript"/>
        </w:rPr>
      </w:pPr>
    </w:p>
    <w:p>
      <w:pPr>
        <w:ind w:left="660" w:hanging="652"/>
        <w:spacing w:after="0" w:line="228" w:lineRule="auto"/>
        <w:tabs>
          <w:tab w:leader="none" w:pos="356"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 xml:space="preserve">Includes expenses recognized for grants of annual cash awards to employees pursuant to our Retention Plans, which awards are incremental to salary and bonus payments, and which plans expire in 2024. For more information, see Note 12, </w:t>
      </w:r>
      <w:r>
        <w:rPr>
          <w:rFonts w:ascii="Arial" w:cs="Arial" w:eastAsia="Arial" w:hAnsi="Arial"/>
          <w:sz w:val="18"/>
          <w:szCs w:val="18"/>
          <w:i w:val="1"/>
          <w:iCs w:val="1"/>
          <w:color w:val="auto"/>
        </w:rPr>
        <w:t>Appreciation and Retention Plan</w:t>
      </w:r>
      <w:r>
        <w:rPr>
          <w:rFonts w:ascii="Arial" w:cs="Arial" w:eastAsia="Arial" w:hAnsi="Arial"/>
          <w:sz w:val="18"/>
          <w:szCs w:val="18"/>
          <w:color w:val="auto"/>
        </w:rPr>
        <w:t>, of our consolidated financial statements included in this document.</w:t>
      </w:r>
    </w:p>
    <w:p>
      <w:pPr>
        <w:spacing w:after="0" w:line="1" w:lineRule="exact"/>
        <w:rPr>
          <w:rFonts w:ascii="Arial" w:cs="Arial" w:eastAsia="Arial" w:hAnsi="Arial"/>
          <w:sz w:val="23"/>
          <w:szCs w:val="23"/>
          <w:color w:val="auto"/>
          <w:vertAlign w:val="superscript"/>
        </w:rPr>
      </w:pPr>
    </w:p>
    <w:p>
      <w:pPr>
        <w:ind w:left="660" w:hanging="652"/>
        <w:spacing w:after="0" w:line="231" w:lineRule="auto"/>
        <w:tabs>
          <w:tab w:leader="none" w:pos="365"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 xml:space="preserve">Includes retention awards to key individuals associated with acquired companies as an incentive to retain those individuals on a long-term basis. For more information, see Note 12, </w:t>
      </w:r>
      <w:r>
        <w:rPr>
          <w:rFonts w:ascii="Arial" w:cs="Arial" w:eastAsia="Arial" w:hAnsi="Arial"/>
          <w:sz w:val="17"/>
          <w:szCs w:val="17"/>
          <w:i w:val="1"/>
          <w:iCs w:val="1"/>
          <w:color w:val="auto"/>
        </w:rPr>
        <w:t>Appreciation and Retention Plan</w:t>
      </w:r>
      <w:r>
        <w:rPr>
          <w:rFonts w:ascii="Arial" w:cs="Arial" w:eastAsia="Arial" w:hAnsi="Arial"/>
          <w:sz w:val="17"/>
          <w:szCs w:val="17"/>
          <w:color w:val="auto"/>
        </w:rPr>
        <w:t>, of our consolidated financial statements included in this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 capital expenditures in the normal course of business and performs ongoing enhancements and updates to our social and mobile games to maintain our quality standards. Cash used for capital expenditures in the normal course of business is typically made available from cash flows generated by operating activities. We may also pursue acquisition opportunities for additional businesses or social or mobile games that meet our strategic and return on investment criteria. Capital needs for investment opportunities are evaluated on an individual opportunity basis and may require significant capital commitments.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primary sources of liquidity are the cash flows generated from our operations, currently available unrestricted cash and cash equivalents, short-term bank deposits, and borrowings pursuant to the Credit Agreement. Our cash and cash equivalents and short-term bank deposits totaled $1,229.7 million and $520.1 million at June 30, 2021 and December 31, 2020, respectively. As of June 30, 2021 and December 31, 2020, we had $600 million and $350 million in additional borrowing capacity pursuant to our Revolving Credit Facility (as defined below), respectively. Payments of short-term debt obligations and other commitments are expected to be made from cash on hand and operating cash flows. Long-term obligations are expected to be paid through operating cash flows, or, if necessary, borrowings under our Revolving Credit Facility or additional term loans or issuances of equity.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restricted cash totaled $2.7 million at June 30, 2021 and $3.5 million at December 31, 2020. Restricted cash primarily consists of deposits to secure obligations under our operating lease agreements and to secure company-issued credit cards.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short-term bank deposits, restricted cash, borrowing capacity under our Revolving Credit Facility and our cash flows from operations will be sufficient to meet our normal operating requirements during the next 12 months and the foreseeable future and to fund capital expenditures.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our cash flows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provided by operating activities for the six months ended June 30, 2021 was $189.9 million when compared with $183.1 million for the same period of 2020. Net cash flows provided by operating activities for each period primarily consisted of net income generated during the period, exclusive of non-cash expenses such as depreciation, amortization and stock-based compensation, with changes in working capital impacted by the payment of annual and incentive bonuses, the payment of our prior-year legal settlement, and payment of long-term cash compensation during the first half of 2021, combined with other normal working-capital timing differences.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flow used in investing activities for the six months ended June 30, 2021 was $98.6 million when compared with $41.7 million for the same period of 2020. Cash flows used in investing activities generally includes outflows related to the purchase and capitalization of assets. In addition, cash outflows for the six months ended June 30, 2021 includes $50 million for amounts placed into short-term bank deposits.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provided by financing activities for the six months ended June 30, 2021 was $570.7 million, compared to cash flows used in financing activities of $112.8 million for the same period of 2020. Financing activity cash flows for the six months ended June 30, 2021 primarily relate to the Company’s initial public offering of its equity in January 2021, and the refinancing of its Old Term Loan (as defined below) in March 2021. Financing activity cash flows for the six months ended June 30, 2020 primarily relate to repayments on the Company’s bank borrowings.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10, 2019, we entered into $2,750 million of senior secured credit facilities (the “Credit Facilities”), consisting of a $250 million revolving credit facility (the “Revolving Credit Facility”), and a $2,500 million first lien term loan (the “Old Term Loan”). The Credit Facilities were provided pursuant to the Credit Agreement, dated as of December 10, 2019, by and among Playtika, the lenders party thereto, and Credit Suisse, AG, Cayman Islands Branch, as administrative agent (in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jc w:val="both"/>
        <w:spacing w:after="0" w:line="311" w:lineRule="auto"/>
        <w:rPr>
          <w:sz w:val="20"/>
          <w:szCs w:val="20"/>
          <w:color w:val="auto"/>
        </w:rPr>
      </w:pPr>
      <w:r>
        <w:rPr>
          <w:rFonts w:ascii="Arial" w:cs="Arial" w:eastAsia="Arial" w:hAnsi="Arial"/>
          <w:sz w:val="16"/>
          <w:szCs w:val="16"/>
          <w:color w:val="auto"/>
        </w:rPr>
        <w:t>such capacity, the "Administrative Agent") and collateral agent (in such capacity, the "Collateral Agent"). Proceeds borrowed under the Credit Facilities on the closing date were used to pay off the outstanding balance on our prior debt facility. On June 15, 2020, we increased the capacity of the Revolving Credit Facility to $350 million. On January 15, 2021, we increased the borrowing capacity of the Revolving Credit Facility from $350 million to $550 million.</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11, 2021, amended the Credit Agreement pursuant to an Incremental Assumption Agreement No. 3 and Second Amendment to Credit Agreement (the “Second Amendment”).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Amendment, among other things, effected a refinancing of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on March 11, 2021, we issued $600.0 million aggregate principal amount of our 4.250% senior notes due 2029 (the “Notes”). The Notes mature on March 15, 2029. Interest on the Notes will accrue at a rate of 4.250% per annum. Interest on the Notes will be payable semi-annually in cash in arrears on March 15 and September 15 of each year, commencing on September 15,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Significant terms of the Credit Facilities, the New Term Loan and the Notes, including balances outstanding, interest and fees, mandatory and voluntary prepayment requirements, collateral and guarantors and restrictive covenants are detailed in Note 6, </w:t>
      </w:r>
      <w:r>
        <w:rPr>
          <w:rFonts w:ascii="Arial" w:cs="Arial" w:eastAsia="Arial" w:hAnsi="Arial"/>
          <w:sz w:val="18"/>
          <w:szCs w:val="18"/>
          <w:i w:val="1"/>
          <w:iCs w:val="1"/>
          <w:color w:val="auto"/>
        </w:rPr>
        <w:t>Debt</w:t>
      </w:r>
      <w:r>
        <w:rPr>
          <w:rFonts w:ascii="Arial" w:cs="Arial" w:eastAsia="Arial" w:hAnsi="Arial"/>
          <w:sz w:val="18"/>
          <w:szCs w:val="18"/>
          <w:color w:val="auto"/>
        </w:rPr>
        <w:t>, to the accompanying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pandemic associated with COVID-19 has caused major disruption to all aspects of the global economy and daily life in recent months, particularly as quarantine and stay-at-home orders have been imposed by all levels of government. We have followed guidance by the United States, Israeli and other applicable foreign and local governments to protect our employees and operations during the pandemic and have implemented a remote environment for our business. We cannot predict the potential impacts of the COVID-19 pandemic on our business or operations, but we continuously monitor performance and other industry reports to assess the risk of future negative impacts as the disruptions of the COVID-19 pandemic continue to evolve.</w:t>
      </w: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and foreign currency exchange rates. We are exposed to market risks in the ordinary course of our business. These risks primarily include interest rate risk, investment risk, and foreign currency risk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exposures to market risk for changes in interest rates relate primarily to our Term Loan and our Revolving Credit Facility. The Term Loan and our Revolving Credit Facility are floating rate facilities. Therefore, fluctuations in interest rates will impact the amount of interest expense we incur and have to pay.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2021, we entered into two interest rate swap agreements, each with a notional value of $250 million. Each of these swap agreements is with a different financial institution as the counterparty to reduce our counterparty risk. Each swap requires the Company to pay a fixed interest rate of 0.9275% in exchange for receiving one-month LIBOR. The interest rate swap agreements settle monthly commencing in April 2021 through their termination dates on April 30, 2026.</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borrowings outstanding under our Term Loan with book values of $1,850.1 million and $2,314.4 million at June 30, 2021 and December 31, 2020, respectively, which were subject to a weighted average interest rate of 2.85% and 7.207%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the six months ended June 30, 2021 and the year ended December 31, 2020, respectively. There were no borrowings against our Revolving Credit Facility at June 30, 2021 or December 31, 2020.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hypothetical 100 basis point increase or decrease in weighted average interest rates under our Term Loan and Revolving Credit Facility, based upon the face value of such instruments and after consideration of the Company’s interest rate swap agreements, would increase our interest expense by $14.0 million over a twelve-month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do not purchase or hold any derivative financial instruments for trading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had cash and cash equivalents including restricted cash and cash equivalents totaling $1,182.4 million and $523.6 million as of June 30, 2021 and December 31, 2020, respectively. We also had short-term bank deposits of $50.0 million as of June 30, 2021. Our investment policy and strategy primarily attempts to preserve capital and meet liquidity requirements without significantly increasing risk. Our cash and cash equivalents and short-term deposits primarily consist of cash deposits and money market funds. We do not enter into investments for trading or speculative purposes. Changes in rates would primarily impact interest income due to the relatively short-term nature of our investments. A hypothetical 100 basis point change in interest rates would have increased or decreased our interest income for a twelve-month period by an immaterial amount.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Israeli Shekels, or ILS. We also have foreign currency risks related to our revenues and operating expenses denominated in currencies other than the U.S. Dollar, including the Australian Dollar, Canadian Dollar, British Pound, Euro, and Romanian Leu.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had forward contracts outstanding for an aggregate purchase of 130.6 million ILS, all which mature during the following 12 months.</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2021, the end of the period covered by this Quarterly Report on Form 10-Q. Based upon that evaluation, our Chief Executive Officer and Chief Financial Officer concluded that our disclosure controls and procedures were effective at the reasonable assurance level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June 30, 2021, the Company completed the implementation of an enterprise management performance software the Company will use to facilitate consolidated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 description of our legal proceedings, see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included in Part I. Item I of this quarterly report on Form 10-Q.</w:t>
      </w:r>
    </w:p>
    <w:p>
      <w:pPr>
        <w:spacing w:after="0" w:line="2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factors could materially affect our business, financial condition, liquidity or future results. There have been no material changes to the risk factors described in the “Risk Factors” section in our Annual Report on Form 10-K for the year ended December 31, 2020. The risks described in our Annual Report on Form 10-K are not the only risks facing our company. Additional risks and uncertainties not currently known to us or that we currently deem to be immaterial also may materially adversely affect our business, financial condition, liquidity, results of operations, prospects or stock price.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4"/>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83"/>
        </w:trPr>
        <w:tc>
          <w:tcPr>
            <w:tcW w:w="1540" w:type="dxa"/>
            <w:vAlign w:val="bottom"/>
            <w:gridSpan w:val="3"/>
          </w:tcPr>
          <w:p>
            <w:pPr>
              <w:ind w:left="440"/>
              <w:spacing w:after="0"/>
              <w:rPr>
                <w:sz w:val="20"/>
                <w:szCs w:val="20"/>
                <w:color w:val="auto"/>
              </w:rPr>
            </w:pPr>
            <w:r>
              <w:rPr>
                <w:rFonts w:ascii="Arial" w:cs="Arial" w:eastAsia="Arial" w:hAnsi="Arial"/>
                <w:sz w:val="16"/>
                <w:szCs w:val="16"/>
                <w:b w:val="1"/>
                <w:bCs w:val="1"/>
                <w:color w:val="auto"/>
              </w:rPr>
              <w:t>Exhibits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180" w:type="dxa"/>
            <w:vAlign w:val="bottom"/>
            <w:gridSpan w:val="9"/>
          </w:tcPr>
          <w:p>
            <w:pPr>
              <w:ind w:left="9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72"/>
        </w:trPr>
        <w:tc>
          <w:tcPr>
            <w:tcW w:w="7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80" w:type="dxa"/>
            <w:vAlign w:val="bottom"/>
            <w:tcBorders>
              <w:top w:val="single" w:sz="8" w:color="auto"/>
            </w:tcBorders>
            <w:gridSpan w:val="11"/>
          </w:tcPr>
          <w:p>
            <w:pPr>
              <w:spacing w:after="0" w:line="172" w:lineRule="exact"/>
              <w:rPr>
                <w:rFonts w:ascii="Arial" w:cs="Arial" w:eastAsia="Arial" w:hAnsi="Arial"/>
                <w:sz w:val="16"/>
                <w:szCs w:val="16"/>
                <w:color w:val="0000FF"/>
              </w:rPr>
            </w:pPr>
            <w:hyperlink r:id="rId81">
              <w:r>
                <w:rPr>
                  <w:rFonts w:ascii="Arial" w:cs="Arial" w:eastAsia="Arial" w:hAnsi="Arial"/>
                  <w:sz w:val="16"/>
                  <w:szCs w:val="16"/>
                  <w:color w:val="0000FF"/>
                </w:rPr>
                <w:t>Indenture, dated March 11, 2021, among Playtika Holding Corp., the subsidiary guarantors party thereto and Wilmington Trust, National</w:t>
              </w:r>
            </w:hyperlink>
          </w:p>
        </w:tc>
        <w:tc>
          <w:tcPr>
            <w:tcW w:w="0" w:type="dxa"/>
            <w:vAlign w:val="bottom"/>
          </w:tcPr>
          <w:p>
            <w:pPr>
              <w:spacing w:after="0"/>
              <w:rPr>
                <w:sz w:val="1"/>
                <w:szCs w:val="1"/>
                <w:color w:val="auto"/>
              </w:rPr>
            </w:pPr>
          </w:p>
        </w:tc>
      </w:tr>
      <w:tr>
        <w:trPr>
          <w:trHeight w:val="142"/>
        </w:trPr>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4.1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tcBorders>
              <w:top w:val="single" w:sz="8" w:color="0000FF"/>
            </w:tcBorders>
            <w:gridSpan w:val="5"/>
          </w:tcPr>
          <w:p>
            <w:pPr>
              <w:spacing w:after="0" w:line="142" w:lineRule="exact"/>
              <w:rPr>
                <w:rFonts w:ascii="Arial" w:cs="Arial" w:eastAsia="Arial" w:hAnsi="Arial"/>
                <w:sz w:val="16"/>
                <w:szCs w:val="16"/>
                <w:color w:val="0000FF"/>
                <w:w w:val="93"/>
              </w:rPr>
            </w:pPr>
            <w:hyperlink r:id="rId81">
              <w:r>
                <w:rPr>
                  <w:rFonts w:ascii="Arial" w:cs="Arial" w:eastAsia="Arial" w:hAnsi="Arial"/>
                  <w:sz w:val="16"/>
                  <w:szCs w:val="16"/>
                  <w:color w:val="0000FF"/>
                  <w:w w:val="93"/>
                </w:rPr>
                <w:t>Association, as trustee (incorporated herein by reference to Exhibit 4.1 to the Company’s Current Report on Form 8-K, as filed with the</w:t>
              </w:r>
            </w:hyperlink>
          </w:p>
        </w:tc>
        <w:tc>
          <w:tcPr>
            <w:tcW w:w="800" w:type="dxa"/>
            <w:vAlign w:val="bottom"/>
            <w:gridSpan w:val="6"/>
          </w:tcPr>
          <w:p>
            <w:pPr>
              <w:spacing w:after="0" w:line="142" w:lineRule="exact"/>
              <w:rPr>
                <w:rFonts w:ascii="Arial" w:cs="Arial" w:eastAsia="Arial" w:hAnsi="Arial"/>
                <w:sz w:val="16"/>
                <w:szCs w:val="16"/>
                <w:color w:val="0000FF"/>
              </w:rPr>
            </w:pPr>
            <w:hyperlink r:id="rId81">
              <w:r>
                <w:rPr>
                  <w:rFonts w:ascii="Arial" w:cs="Arial" w:eastAsia="Arial" w:hAnsi="Arial"/>
                  <w:sz w:val="16"/>
                  <w:szCs w:val="16"/>
                  <w:color w:val="0000FF"/>
                </w:rPr>
                <w:t>SEC on</w:t>
              </w:r>
            </w:hyperlink>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81">
              <w:r>
                <w:rPr>
                  <w:rFonts w:ascii="Arial" w:cs="Arial" w:eastAsia="Arial" w:hAnsi="Arial"/>
                  <w:sz w:val="16"/>
                  <w:szCs w:val="16"/>
                  <w:color w:val="0000FF"/>
                </w:rPr>
                <w:t>March 11, 2021)</w:t>
              </w:r>
            </w:hyperlink>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4.2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spacing w:after="0"/>
              <w:rPr>
                <w:rFonts w:ascii="Arial" w:cs="Arial" w:eastAsia="Arial" w:hAnsi="Arial"/>
                <w:sz w:val="16"/>
                <w:szCs w:val="16"/>
                <w:color w:val="0000FF"/>
                <w:w w:val="93"/>
              </w:rPr>
            </w:pPr>
            <w:hyperlink r:id="rId81">
              <w:r>
                <w:rPr>
                  <w:rFonts w:ascii="Arial" w:cs="Arial" w:eastAsia="Arial" w:hAnsi="Arial"/>
                  <w:sz w:val="16"/>
                  <w:szCs w:val="16"/>
                  <w:color w:val="0000FF"/>
                  <w:w w:val="93"/>
                </w:rPr>
                <w:t>Form of 4.250% Senior Notes due 2029 (included in Exhibit 4.1) (incorporated herein by reference to Exhibit 4.2 to the Company’s Current Report</w:t>
              </w:r>
            </w:hyperlink>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81">
              <w:r>
                <w:rPr>
                  <w:rFonts w:ascii="Arial" w:cs="Arial" w:eastAsia="Arial" w:hAnsi="Arial"/>
                  <w:sz w:val="16"/>
                  <w:szCs w:val="16"/>
                  <w:color w:val="0000FF"/>
                </w:rPr>
                <w:t>on Form 8-K, as filed with the SEC on March 11, 202</w:t>
              </w:r>
              <w:r>
                <w:rPr>
                  <w:rFonts w:ascii="Arial" w:cs="Arial" w:eastAsia="Arial" w:hAnsi="Arial"/>
                  <w:sz w:val="16"/>
                  <w:szCs w:val="16"/>
                  <w:color w:val="000000"/>
                </w:rPr>
                <w:t>1)</w:t>
              </w:r>
            </w:hyperlink>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spacing w:after="0"/>
              <w:rPr>
                <w:rFonts w:ascii="Arial" w:cs="Arial" w:eastAsia="Arial" w:hAnsi="Arial"/>
                <w:sz w:val="16"/>
                <w:szCs w:val="16"/>
                <w:color w:val="0000FF"/>
                <w:w w:val="96"/>
              </w:rPr>
            </w:pPr>
            <w:hyperlink r:id="rId82">
              <w:r>
                <w:rPr>
                  <w:rFonts w:ascii="Arial" w:cs="Arial" w:eastAsia="Arial" w:hAnsi="Arial"/>
                  <w:sz w:val="16"/>
                  <w:szCs w:val="16"/>
                  <w:color w:val="0000FF"/>
                  <w:w w:val="96"/>
                </w:rPr>
                <w:t>Incremental Assumption Agreement No. 3 and Second Amendment to Credit Agreement, dated as of March 11, 2021, among Playtika Holding</w:t>
              </w:r>
            </w:hyperlink>
          </w:p>
        </w:tc>
        <w:tc>
          <w:tcPr>
            <w:tcW w:w="0" w:type="dxa"/>
            <w:vAlign w:val="bottom"/>
          </w:tcPr>
          <w:p>
            <w:pPr>
              <w:spacing w:after="0"/>
              <w:rPr>
                <w:sz w:val="1"/>
                <w:szCs w:val="1"/>
                <w:color w:val="auto"/>
              </w:rPr>
            </w:pPr>
          </w:p>
        </w:tc>
      </w:tr>
      <w:tr>
        <w:trPr>
          <w:trHeight w:val="142"/>
        </w:trPr>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10.1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8"/>
          </w:tcPr>
          <w:p>
            <w:pPr>
              <w:spacing w:after="0" w:line="142" w:lineRule="exact"/>
              <w:rPr>
                <w:rFonts w:ascii="Arial" w:cs="Arial" w:eastAsia="Arial" w:hAnsi="Arial"/>
                <w:sz w:val="16"/>
                <w:szCs w:val="16"/>
                <w:color w:val="0000FF"/>
                <w:w w:val="91"/>
              </w:rPr>
            </w:pPr>
            <w:hyperlink r:id="rId82">
              <w:r>
                <w:rPr>
                  <w:rFonts w:ascii="Arial" w:cs="Arial" w:eastAsia="Arial" w:hAnsi="Arial"/>
                  <w:sz w:val="16"/>
                  <w:szCs w:val="16"/>
                  <w:color w:val="0000FF"/>
                  <w:w w:val="91"/>
                </w:rPr>
                <w:t>Corp., the subsidiary guarantors party thereto, the lenders party thereto and Credit Suisse AG, Cayman Islands Branch, as administrative agent</w:t>
              </w:r>
            </w:hyperlink>
          </w:p>
        </w:tc>
        <w:tc>
          <w:tcPr>
            <w:tcW w:w="4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7"/>
          </w:tcPr>
          <w:p>
            <w:pPr>
              <w:spacing w:after="0" w:line="142" w:lineRule="exact"/>
              <w:rPr>
                <w:rFonts w:ascii="Arial" w:cs="Arial" w:eastAsia="Arial" w:hAnsi="Arial"/>
                <w:sz w:val="16"/>
                <w:szCs w:val="16"/>
                <w:color w:val="0000FF"/>
                <w:w w:val="94"/>
              </w:rPr>
            </w:pPr>
            <w:hyperlink r:id="rId82">
              <w:r>
                <w:rPr>
                  <w:rFonts w:ascii="Arial" w:cs="Arial" w:eastAsia="Arial" w:hAnsi="Arial"/>
                  <w:sz w:val="16"/>
                  <w:szCs w:val="16"/>
                  <w:color w:val="0000FF"/>
                  <w:w w:val="94"/>
                </w:rPr>
                <w:t>(incorporated herein by reference to Exhibit 10.1 to the Company’s Current Report on Form 8-K, as filed with the SEC on March 11, 2021)</w:t>
              </w:r>
            </w:hyperlink>
          </w:p>
        </w:tc>
        <w:tc>
          <w:tcPr>
            <w:tcW w:w="4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31.1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3"/>
              </w:rPr>
            </w:pPr>
            <w:hyperlink w:anchor="page43">
              <w:r>
                <w:rPr>
                  <w:rFonts w:ascii="Arial" w:cs="Arial" w:eastAsia="Arial" w:hAnsi="Arial"/>
                  <w:sz w:val="16"/>
                  <w:szCs w:val="16"/>
                  <w:color w:val="0000FF"/>
                  <w:w w:val="93"/>
                </w:rPr>
                <w:t>Certification of Chief Executive Officer pursuant to Section 302 of the Sarbanes-Oxley Act of 2002</w:t>
              </w:r>
            </w:hyperlink>
          </w:p>
        </w:tc>
        <w:tc>
          <w:tcPr>
            <w:tcW w:w="2560" w:type="dxa"/>
            <w:vAlign w:val="bottom"/>
            <w:tcBorders>
              <w:top w:val="single" w:sz="8" w:color="0000FF"/>
            </w:tcBorders>
            <w:gridSpan w:val="2"/>
          </w:tcPr>
          <w:p>
            <w:pPr>
              <w:spacing w:after="0"/>
              <w:rPr>
                <w:sz w:val="17"/>
                <w:szCs w:val="17"/>
                <w:color w:val="auto"/>
              </w:rPr>
            </w:pPr>
          </w:p>
        </w:tc>
        <w:tc>
          <w:tcPr>
            <w:tcW w:w="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31.2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shd w:val="clear" w:color="auto" w:fill="0000FF"/>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32.1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45">
              <w:r>
                <w:rPr>
                  <w:rFonts w:ascii="Arial" w:cs="Arial" w:eastAsia="Arial" w:hAnsi="Arial"/>
                  <w:sz w:val="16"/>
                  <w:szCs w:val="16"/>
                  <w:color w:val="0000FF"/>
                  <w:w w:val="93"/>
                </w:rPr>
                <w:t>Certification of Chief Executive Officer pursuant to Section 906 of the Sarbanes-Oxley Act of 2002</w:t>
              </w:r>
            </w:hyperlink>
          </w:p>
        </w:tc>
        <w:tc>
          <w:tcPr>
            <w:tcW w:w="3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32.2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shd w:val="clear" w:color="auto" w:fill="0000FF"/>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 w:type="dxa"/>
            <w:vAlign w:val="bottom"/>
          </w:tcPr>
          <w:p>
            <w:pPr>
              <w:ind w:left="20"/>
              <w:spacing w:after="0"/>
              <w:rPr>
                <w:sz w:val="20"/>
                <w:szCs w:val="20"/>
                <w:color w:val="auto"/>
              </w:rPr>
            </w:pPr>
            <w:r>
              <w:rPr>
                <w:rFonts w:ascii="Arial" w:cs="Arial" w:eastAsia="Arial" w:hAnsi="Arial"/>
                <w:sz w:val="16"/>
                <w:szCs w:val="16"/>
                <w:color w:val="auto"/>
              </w:rPr>
              <w:t>101.INS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ind w:left="240"/>
              <w:spacing w:after="0"/>
              <w:rPr>
                <w:sz w:val="20"/>
                <w:szCs w:val="20"/>
                <w:color w:val="auto"/>
              </w:rPr>
            </w:pPr>
            <w:r>
              <w:rPr>
                <w:rFonts w:ascii="Arial" w:cs="Arial" w:eastAsia="Arial" w:hAnsi="Arial"/>
                <w:sz w:val="16"/>
                <w:szCs w:val="16"/>
                <w:color w:val="auto"/>
              </w:rPr>
              <w:t>the inline XBRL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101.SCH</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101.CAL</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101.DEF</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Definition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101.LAB</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101.PRE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PLAYTIKA HOLDING CORP.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Registrant</w:t>
      </w:r>
    </w:p>
    <w:p>
      <w:pPr>
        <w:spacing w:after="0" w:line="29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Antokol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Chairperson of the Board</w:t>
      </w:r>
    </w:p>
    <w:p>
      <w:pPr>
        <w:spacing w:after="0" w:line="29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Craig Abrahams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as of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1417" w:right="41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Executive Officer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Robert Antokol, certify that:</w:t>
      </w:r>
    </w:p>
    <w:p>
      <w:pPr>
        <w:spacing w:after="0" w:line="248"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Playtika Holding Corp.;</w:t>
      </w:r>
    </w:p>
    <w:p>
      <w:pPr>
        <w:spacing w:after="0" w:line="248" w:lineRule="exact"/>
        <w:rPr>
          <w:rFonts w:ascii="Arial" w:cs="Arial" w:eastAsia="Arial" w:hAnsi="Arial"/>
          <w:sz w:val="16"/>
          <w:szCs w:val="16"/>
          <w:color w:val="auto"/>
        </w:rPr>
      </w:pPr>
    </w:p>
    <w:p>
      <w:pPr>
        <w:ind w:left="660" w:right="20" w:hanging="652"/>
        <w:spacing w:after="0" w:line="310" w:lineRule="auto"/>
        <w:tabs>
          <w:tab w:leader="none" w:pos="318"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hanging="652"/>
        <w:spacing w:after="0" w:line="275" w:lineRule="auto"/>
        <w:tabs>
          <w:tab w:leader="none" w:pos="323"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234" w:lineRule="exact"/>
        <w:rPr>
          <w:rFonts w:ascii="Arial" w:cs="Arial" w:eastAsia="Arial" w:hAnsi="Arial"/>
          <w:sz w:val="14"/>
          <w:szCs w:val="14"/>
          <w:color w:val="auto"/>
        </w:rPr>
      </w:pPr>
    </w:p>
    <w:p>
      <w:pPr>
        <w:ind w:left="1300" w:hanging="644"/>
        <w:spacing w:after="0" w:line="261" w:lineRule="auto"/>
        <w:tabs>
          <w:tab w:leader="none" w:pos="1002"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hanging="644"/>
        <w:spacing w:after="0" w:line="261" w:lineRule="auto"/>
        <w:tabs>
          <w:tab w:leader="none" w:pos="1027"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hanging="644"/>
        <w:spacing w:after="0" w:line="275" w:lineRule="auto"/>
        <w:tabs>
          <w:tab w:leader="none" w:pos="98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hanging="644"/>
        <w:spacing w:after="0" w:line="261" w:lineRule="auto"/>
        <w:tabs>
          <w:tab w:leader="none" w:pos="98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hanging="652"/>
        <w:spacing w:after="0" w:line="275" w:lineRule="auto"/>
        <w:tabs>
          <w:tab w:leader="none" w:pos="3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101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959"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6"/>
          <w:szCs w:val="16"/>
          <w:color w:val="auto"/>
        </w:rPr>
        <w:t>August 6, 2021</w:t>
      </w:r>
      <w:r>
        <w:rPr>
          <w:sz w:val="20"/>
          <w:szCs w:val="20"/>
          <w:color w:val="auto"/>
        </w:rPr>
        <w:tab/>
      </w:r>
      <w:r>
        <w:rPr>
          <w:rFonts w:ascii="Arial" w:cs="Arial" w:eastAsia="Arial" w:hAnsi="Arial"/>
          <w:sz w:val="15"/>
          <w:szCs w:val="15"/>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Robert Antokol</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Chief Executive Officer and Chairperson of the Board</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Financial Officer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Craig Abrahams, certify that:</w:t>
      </w:r>
    </w:p>
    <w:p>
      <w:pPr>
        <w:spacing w:after="0" w:line="248"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Playtika Holding Corp.;</w:t>
      </w:r>
    </w:p>
    <w:p>
      <w:pPr>
        <w:spacing w:after="0" w:line="248" w:lineRule="exact"/>
        <w:rPr>
          <w:rFonts w:ascii="Arial" w:cs="Arial" w:eastAsia="Arial" w:hAnsi="Arial"/>
          <w:sz w:val="16"/>
          <w:szCs w:val="16"/>
          <w:color w:val="auto"/>
        </w:rPr>
      </w:pPr>
    </w:p>
    <w:p>
      <w:pPr>
        <w:ind w:left="660" w:right="20" w:hanging="652"/>
        <w:spacing w:after="0" w:line="310" w:lineRule="auto"/>
        <w:tabs>
          <w:tab w:leader="none" w:pos="318"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hanging="652"/>
        <w:spacing w:after="0" w:line="275" w:lineRule="auto"/>
        <w:tabs>
          <w:tab w:leader="none" w:pos="3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234" w:lineRule="exact"/>
        <w:rPr>
          <w:rFonts w:ascii="Arial" w:cs="Arial" w:eastAsia="Arial" w:hAnsi="Arial"/>
          <w:sz w:val="14"/>
          <w:szCs w:val="14"/>
          <w:color w:val="auto"/>
        </w:rPr>
      </w:pPr>
    </w:p>
    <w:p>
      <w:pPr>
        <w:ind w:left="1300" w:hanging="644"/>
        <w:spacing w:after="0" w:line="261" w:lineRule="auto"/>
        <w:tabs>
          <w:tab w:leader="none" w:pos="100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hanging="644"/>
        <w:spacing w:after="0" w:line="261" w:lineRule="auto"/>
        <w:tabs>
          <w:tab w:leader="none" w:pos="1027"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hanging="644"/>
        <w:spacing w:after="0" w:line="275" w:lineRule="auto"/>
        <w:tabs>
          <w:tab w:leader="none" w:pos="985"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hanging="644"/>
        <w:spacing w:after="0" w:line="261" w:lineRule="auto"/>
        <w:tabs>
          <w:tab w:leader="none" w:pos="984"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hanging="652"/>
        <w:spacing w:after="0" w:line="275" w:lineRule="auto"/>
        <w:tabs>
          <w:tab w:leader="none" w:pos="3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101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959"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6"/>
          <w:szCs w:val="16"/>
          <w:color w:val="auto"/>
        </w:rPr>
        <w:t>August 6, 2021</w:t>
      </w:r>
      <w:r>
        <w:rPr>
          <w:sz w:val="20"/>
          <w:szCs w:val="20"/>
          <w:color w:val="auto"/>
        </w:rPr>
        <w:tab/>
      </w:r>
      <w:r>
        <w:rPr>
          <w:rFonts w:ascii="Arial" w:cs="Arial" w:eastAsia="Arial" w:hAnsi="Arial"/>
          <w:sz w:val="14"/>
          <w:szCs w:val="14"/>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Craig Abrahams</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President and Chief Financial Officer</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14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97" w:lineRule="exact"/>
        <w:rPr>
          <w:sz w:val="20"/>
          <w:szCs w:val="20"/>
          <w:color w:val="auto"/>
        </w:rPr>
      </w:pPr>
    </w:p>
    <w:p>
      <w:pPr>
        <w:ind w:left="660" w:hanging="652"/>
        <w:spacing w:after="0" w:line="277"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2021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August 6, 2021</w:t>
            </w:r>
          </w:p>
        </w:tc>
        <w:tc>
          <w:tcPr>
            <w:tcW w:w="8220" w:type="dxa"/>
            <w:vAlign w:val="bottom"/>
            <w:gridSpan w:val="2"/>
          </w:tcPr>
          <w:p>
            <w:pPr>
              <w:ind w:left="1900"/>
              <w:spacing w:after="0"/>
              <w:rPr>
                <w:sz w:val="20"/>
                <w:szCs w:val="20"/>
                <w:color w:val="auto"/>
              </w:rPr>
            </w:pPr>
            <w:r>
              <w:rPr>
                <w:rFonts w:ascii="Arial" w:cs="Arial" w:eastAsia="Arial" w:hAnsi="Arial"/>
                <w:sz w:val="18"/>
                <w:szCs w:val="18"/>
                <w:color w:val="auto"/>
              </w:rPr>
              <w:t>By: /s/ Robert Antokol</w:t>
            </w:r>
          </w:p>
        </w:tc>
      </w:tr>
      <w:tr>
        <w:trPr>
          <w:trHeight w:val="222"/>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Antokol</w:t>
            </w:r>
          </w:p>
        </w:tc>
      </w:tr>
      <w:tr>
        <w:trPr>
          <w:trHeight w:val="230"/>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Executive Officer and Chairperson of the Board</w:t>
            </w:r>
          </w:p>
        </w:tc>
      </w:tr>
      <w:tr>
        <w:trPr>
          <w:trHeight w:val="230"/>
        </w:trPr>
        <w:tc>
          <w:tcPr>
            <w:tcW w:w="3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41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97" w:lineRule="exact"/>
        <w:rPr>
          <w:sz w:val="20"/>
          <w:szCs w:val="20"/>
          <w:color w:val="auto"/>
        </w:rPr>
      </w:pPr>
    </w:p>
    <w:p>
      <w:pPr>
        <w:ind w:left="660" w:hanging="65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2021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August 6, 2021</w:t>
            </w:r>
          </w:p>
        </w:tc>
        <w:tc>
          <w:tcPr>
            <w:tcW w:w="8220" w:type="dxa"/>
            <w:vAlign w:val="bottom"/>
            <w:gridSpan w:val="2"/>
          </w:tcPr>
          <w:p>
            <w:pPr>
              <w:ind w:left="1900"/>
              <w:spacing w:after="0"/>
              <w:rPr>
                <w:sz w:val="20"/>
                <w:szCs w:val="20"/>
                <w:color w:val="auto"/>
              </w:rPr>
            </w:pPr>
            <w:r>
              <w:rPr>
                <w:rFonts w:ascii="Arial" w:cs="Arial" w:eastAsia="Arial" w:hAnsi="Arial"/>
                <w:sz w:val="18"/>
                <w:szCs w:val="18"/>
                <w:color w:val="auto"/>
              </w:rPr>
              <w:t>By: /s/ Craig Abrahams</w:t>
            </w:r>
          </w:p>
        </w:tc>
      </w:tr>
      <w:tr>
        <w:trPr>
          <w:trHeight w:val="222"/>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Craig Abrahams</w:t>
            </w:r>
          </w:p>
        </w:tc>
      </w:tr>
      <w:tr>
        <w:trPr>
          <w:trHeight w:val="230"/>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3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Roman"/>
      <w:start w:val="3"/>
    </w:lvl>
  </w:abstractNum>
  <w:abstractNum w:abstractNumId="11">
    <w:nsid w:val="41A7C4C9"/>
    <w:multiLevelType w:val="hybridMultilevel"/>
    <w:lvl w:ilvl="0">
      <w:lvlJc w:val="left"/>
      <w:lvlText w:val="(%1)"/>
      <w:numFmt w:val="lowerRoman"/>
      <w:start w:val="5"/>
    </w:lvl>
  </w:abstractNum>
  <w:abstractNum w:abstractNumId="12">
    <w:nsid w:val="6B68079A"/>
    <w:multiLevelType w:val="hybridMultilevel"/>
    <w:lvl w:ilvl="0">
      <w:lvlJc w:val="left"/>
      <w:lvlText w:val="\endash "/>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1" Type="http://schemas.openxmlformats.org/officeDocument/2006/relationships/hyperlink" Target="https://www.sec.gov/Archives/edgar/data/1828016/000119312521077902/d144587dex41.htm" TargetMode="External"/><Relationship Id="rId82" Type="http://schemas.openxmlformats.org/officeDocument/2006/relationships/hyperlink" Target="https://www.sec.gov/Archives/edgar/data/1828016/000119312521077902/d1445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2021-08-06T07:05:14Z</dcterms:created>
  <dcterms:modified xsi:type="dcterms:W3CDTF">2021-08-06T07:05:14Z</dcterms:modified>
</cp:coreProperties>
</file>