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4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7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6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 xml:space="preserve">Date of Report (Date of earliest event reported): </w:t>
      </w:r>
      <w:r>
        <w:rPr>
          <w:rFonts w:ascii="Times New Roman" w:cs="Times New Roman" w:eastAsia="Times New Roman" w:hAnsi="Times New Roman"/>
          <w:sz w:val="14"/>
          <w:szCs w:val="14"/>
          <w:color w:val="auto"/>
        </w:rPr>
        <w:t>May 7, 2026</w:t>
      </w:r>
    </w:p>
    <w:p>
      <w:pPr>
        <w:spacing w:after="0" w:line="16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Commission File Number: 001-39896</w:t>
      </w:r>
    </w:p>
    <w:p>
      <w:pPr>
        <w:spacing w:after="0" w:line="32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4"/>
          <w:szCs w:val="24"/>
          <w:b w:val="1"/>
          <w:bCs w:val="1"/>
          <w:color w:val="auto"/>
        </w:rPr>
        <w:t>PLAYTIKA HOLDING CORP.</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(Exact Name of Registrant as Specified in its Charter)</w:t>
      </w:r>
    </w:p>
    <w:p>
      <w:pPr>
        <w:spacing w:after="0" w:line="182" w:lineRule="exact"/>
        <w:rPr>
          <w:sz w:val="24"/>
          <w:szCs w:val="24"/>
          <w:color w:val="auto"/>
        </w:rPr>
      </w:pPr>
    </w:p>
    <w:tbl>
      <w:tblPr>
        <w:tblLayout w:type="fixed"/>
        <w:tblInd w:w="1988" w:type="dxa"/>
        <w:tblCellMar>
          <w:top w:w="0" w:type="dxa"/>
          <w:left w:w="0" w:type="dxa"/>
          <w:bottom w:w="0" w:type="dxa"/>
          <w:right w:w="0" w:type="dxa"/>
        </w:tblCellMar>
      </w:tblPr>
      <w:tr>
        <w:trPr>
          <w:trHeight w:val="151"/>
        </w:trPr>
        <w:tc>
          <w:tcPr>
            <w:tcW w:w="3820" w:type="dxa"/>
            <w:vAlign w:val="bottom"/>
          </w:tcPr>
          <w:p>
            <w:pPr>
              <w:jc w:val="center"/>
              <w:ind w:right="240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200" w:type="dxa"/>
            <w:vAlign w:val="bottom"/>
          </w:tcPr>
          <w:p>
            <w:pPr>
              <w:jc w:val="center"/>
              <w:ind w:left="2408"/>
              <w:spacing w:after="0"/>
              <w:rPr>
                <w:sz w:val="20"/>
                <w:szCs w:val="20"/>
                <w:color w:val="auto"/>
              </w:rPr>
            </w:pPr>
            <w:r>
              <w:rPr>
                <w:rFonts w:ascii="Times New Roman" w:cs="Times New Roman" w:eastAsia="Times New Roman" w:hAnsi="Times New Roman"/>
                <w:sz w:val="12"/>
                <w:szCs w:val="12"/>
                <w:b w:val="1"/>
                <w:bCs w:val="1"/>
                <w:color w:val="auto"/>
                <w:w w:val="99"/>
              </w:rPr>
              <w:t>81-3634591</w:t>
            </w:r>
          </w:p>
        </w:tc>
      </w:tr>
      <w:tr>
        <w:trPr>
          <w:trHeight w:val="125"/>
        </w:trPr>
        <w:tc>
          <w:tcPr>
            <w:tcW w:w="3820" w:type="dxa"/>
            <w:vAlign w:val="bottom"/>
          </w:tcPr>
          <w:p>
            <w:pPr>
              <w:jc w:val="center"/>
              <w:ind w:right="2408"/>
              <w:spacing w:after="0"/>
              <w:rPr>
                <w:sz w:val="20"/>
                <w:szCs w:val="20"/>
                <w:color w:val="auto"/>
              </w:rPr>
            </w:pPr>
            <w:r>
              <w:rPr>
                <w:rFonts w:ascii="Times New Roman" w:cs="Times New Roman" w:eastAsia="Times New Roman" w:hAnsi="Times New Roman"/>
                <w:sz w:val="10"/>
                <w:szCs w:val="10"/>
                <w:b w:val="1"/>
                <w:bCs w:val="1"/>
                <w:color w:val="auto"/>
                <w:w w:val="95"/>
              </w:rPr>
              <w:t>(State of other jurisdiction</w:t>
            </w:r>
          </w:p>
        </w:tc>
        <w:tc>
          <w:tcPr>
            <w:tcW w:w="3200" w:type="dxa"/>
            <w:vAlign w:val="bottom"/>
          </w:tcPr>
          <w:p>
            <w:pPr>
              <w:jc w:val="center"/>
              <w:ind w:left="2388"/>
              <w:spacing w:after="0"/>
              <w:rPr>
                <w:sz w:val="20"/>
                <w:szCs w:val="20"/>
                <w:color w:val="auto"/>
              </w:rPr>
            </w:pPr>
            <w:r>
              <w:rPr>
                <w:rFonts w:ascii="Times New Roman" w:cs="Times New Roman" w:eastAsia="Times New Roman" w:hAnsi="Times New Roman"/>
                <w:sz w:val="10"/>
                <w:szCs w:val="10"/>
                <w:b w:val="1"/>
                <w:bCs w:val="1"/>
                <w:color w:val="auto"/>
                <w:w w:val="94"/>
              </w:rPr>
              <w:t>(I.R.S. Employer</w:t>
            </w:r>
          </w:p>
        </w:tc>
      </w:tr>
      <w:tr>
        <w:trPr>
          <w:trHeight w:val="135"/>
        </w:trPr>
        <w:tc>
          <w:tcPr>
            <w:tcW w:w="3820" w:type="dxa"/>
            <w:vAlign w:val="bottom"/>
          </w:tcPr>
          <w:p>
            <w:pPr>
              <w:jc w:val="center"/>
              <w:ind w:right="2408"/>
              <w:spacing w:after="0"/>
              <w:rPr>
                <w:sz w:val="20"/>
                <w:szCs w:val="20"/>
                <w:color w:val="auto"/>
              </w:rPr>
            </w:pPr>
            <w:r>
              <w:rPr>
                <w:rFonts w:ascii="Times New Roman" w:cs="Times New Roman" w:eastAsia="Times New Roman" w:hAnsi="Times New Roman"/>
                <w:sz w:val="10"/>
                <w:szCs w:val="10"/>
                <w:b w:val="1"/>
                <w:bCs w:val="1"/>
                <w:color w:val="auto"/>
                <w:w w:val="96"/>
              </w:rPr>
              <w:t>of incorporation or organization)</w:t>
            </w:r>
          </w:p>
        </w:tc>
        <w:tc>
          <w:tcPr>
            <w:tcW w:w="3200" w:type="dxa"/>
            <w:vAlign w:val="bottom"/>
          </w:tcPr>
          <w:p>
            <w:pPr>
              <w:jc w:val="center"/>
              <w:ind w:left="238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8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c/o Playtika Ltd.</w:t>
      </w:r>
    </w:p>
    <w:p>
      <w:pPr>
        <w:spacing w:after="0" w:line="2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HaChoshlim St 8</w:t>
      </w:r>
    </w:p>
    <w:p>
      <w:pPr>
        <w:spacing w:after="0" w:line="2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Herzliya Pituach, Israel</w:t>
      </w:r>
    </w:p>
    <w:p>
      <w:pPr>
        <w:spacing w:after="0" w:line="2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972-73-316-3251</w:t>
      </w:r>
    </w:p>
    <w:p>
      <w:pPr>
        <w:spacing w:after="0" w:line="7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16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0"/>
          <w:szCs w:val="10"/>
          <w:b w:val="1"/>
          <w:bCs w:val="1"/>
          <w:color w:val="auto"/>
        </w:rPr>
        <w:t>Check the appropriate box below if the Form 8-K filing is intended to simultaneously satisfy the filing obligation of the registrant under any of the following provisions (see General Instruction A.2. below):</w:t>
      </w:r>
    </w:p>
    <w:p>
      <w:pPr>
        <w:spacing w:after="0" w:line="164" w:lineRule="exact"/>
        <w:rPr>
          <w:sz w:val="24"/>
          <w:szCs w:val="24"/>
          <w:color w:val="auto"/>
        </w:rPr>
      </w:pPr>
    </w:p>
    <w:p>
      <w:pPr>
        <w:ind w:left="188" w:hanging="188"/>
        <w:spacing w:after="0"/>
        <w:tabs>
          <w:tab w:leader="none" w:pos="188" w:val="left"/>
        </w:tabs>
        <w:numPr>
          <w:ilvl w:val="0"/>
          <w:numId w:val="1"/>
        </w:numPr>
        <w:rPr>
          <w:rFonts w:ascii="MS PGothic" w:cs="MS PGothic" w:eastAsia="MS PGothic" w:hAnsi="MS PGothic"/>
          <w:sz w:val="10"/>
          <w:szCs w:val="10"/>
          <w:color w:val="auto"/>
          <w:highlight w:val="black"/>
        </w:rPr>
      </w:pPr>
      <w:r>
        <w:rPr>
          <w:rFonts w:ascii="Times New Roman" w:cs="Times New Roman" w:eastAsia="Times New Roman" w:hAnsi="Times New Roman"/>
          <w:sz w:val="10"/>
          <w:szCs w:val="10"/>
          <w:b w:val="1"/>
          <w:bCs w:val="1"/>
          <w:color w:val="auto"/>
        </w:rPr>
        <w:t>Written communications pursuant to Rule 425 under the Securities Act (17 CFR 230.425)</w:t>
      </w:r>
    </w:p>
    <w:p>
      <w:pPr>
        <w:spacing w:after="0" w:line="155" w:lineRule="exact"/>
        <w:rPr>
          <w:rFonts w:ascii="MS PGothic" w:cs="MS PGothic" w:eastAsia="MS PGothic" w:hAnsi="MS PGothic"/>
          <w:sz w:val="10"/>
          <w:szCs w:val="10"/>
          <w:color w:val="auto"/>
          <w:highlight w:val="black"/>
        </w:rPr>
      </w:pPr>
    </w:p>
    <w:p>
      <w:pPr>
        <w:ind w:left="188" w:hanging="188"/>
        <w:spacing w:after="0"/>
        <w:tabs>
          <w:tab w:leader="none" w:pos="188" w:val="left"/>
        </w:tabs>
        <w:numPr>
          <w:ilvl w:val="0"/>
          <w:numId w:val="1"/>
        </w:numPr>
        <w:rPr>
          <w:rFonts w:ascii="MS PGothic" w:cs="MS PGothic" w:eastAsia="MS PGothic" w:hAnsi="MS PGothic"/>
          <w:sz w:val="10"/>
          <w:szCs w:val="10"/>
          <w:color w:val="auto"/>
          <w:highlight w:val="black"/>
        </w:rPr>
      </w:pPr>
      <w:r>
        <w:rPr>
          <w:rFonts w:ascii="Times New Roman" w:cs="Times New Roman" w:eastAsia="Times New Roman" w:hAnsi="Times New Roman"/>
          <w:sz w:val="10"/>
          <w:szCs w:val="10"/>
          <w:b w:val="1"/>
          <w:bCs w:val="1"/>
          <w:color w:val="auto"/>
        </w:rPr>
        <w:t>Soliciting material pursuant to Rule 14a-12 under the Exchange Act (17 CFR 240.14a-12)</w:t>
      </w:r>
    </w:p>
    <w:p>
      <w:pPr>
        <w:spacing w:after="0" w:line="164" w:lineRule="exact"/>
        <w:rPr>
          <w:rFonts w:ascii="MS PGothic" w:cs="MS PGothic" w:eastAsia="MS PGothic" w:hAnsi="MS PGothic"/>
          <w:sz w:val="10"/>
          <w:szCs w:val="10"/>
          <w:color w:val="auto"/>
          <w:highlight w:val="black"/>
        </w:rPr>
      </w:pPr>
    </w:p>
    <w:p>
      <w:pPr>
        <w:ind w:left="188" w:hanging="188"/>
        <w:spacing w:after="0"/>
        <w:tabs>
          <w:tab w:leader="none" w:pos="188" w:val="left"/>
        </w:tabs>
        <w:numPr>
          <w:ilvl w:val="0"/>
          <w:numId w:val="1"/>
        </w:numPr>
        <w:rPr>
          <w:rFonts w:ascii="MS PGothic" w:cs="MS PGothic" w:eastAsia="MS PGothic" w:hAnsi="MS PGothic"/>
          <w:sz w:val="10"/>
          <w:szCs w:val="10"/>
          <w:color w:val="auto"/>
          <w:highlight w:val="black"/>
        </w:rPr>
      </w:pPr>
      <w:r>
        <w:rPr>
          <w:rFonts w:ascii="Times New Roman" w:cs="Times New Roman" w:eastAsia="Times New Roman" w:hAnsi="Times New Roman"/>
          <w:sz w:val="10"/>
          <w:szCs w:val="10"/>
          <w:b w:val="1"/>
          <w:bCs w:val="1"/>
          <w:color w:val="auto"/>
        </w:rPr>
        <w:t>Pre-commencement communications pursuant to Rule 14d-2(b) under the Exchange Act (17 CFR 240.14d-2(b))</w:t>
      </w:r>
    </w:p>
    <w:p>
      <w:pPr>
        <w:spacing w:after="0" w:line="164" w:lineRule="exact"/>
        <w:rPr>
          <w:rFonts w:ascii="MS PGothic" w:cs="MS PGothic" w:eastAsia="MS PGothic" w:hAnsi="MS PGothic"/>
          <w:sz w:val="10"/>
          <w:szCs w:val="10"/>
          <w:color w:val="auto"/>
          <w:highlight w:val="black"/>
        </w:rPr>
      </w:pPr>
    </w:p>
    <w:p>
      <w:pPr>
        <w:ind w:left="188" w:hanging="188"/>
        <w:spacing w:after="0"/>
        <w:tabs>
          <w:tab w:leader="none" w:pos="188" w:val="left"/>
        </w:tabs>
        <w:numPr>
          <w:ilvl w:val="0"/>
          <w:numId w:val="1"/>
        </w:numPr>
        <w:rPr>
          <w:rFonts w:ascii="MS PGothic" w:cs="MS PGothic" w:eastAsia="MS PGothic" w:hAnsi="MS PGothic"/>
          <w:sz w:val="10"/>
          <w:szCs w:val="10"/>
          <w:color w:val="auto"/>
          <w:highlight w:val="black"/>
        </w:rPr>
      </w:pPr>
      <w:r>
        <w:rPr>
          <w:rFonts w:ascii="Times New Roman" w:cs="Times New Roman" w:eastAsia="Times New Roman" w:hAnsi="Times New Roman"/>
          <w:sz w:val="10"/>
          <w:szCs w:val="10"/>
          <w:b w:val="1"/>
          <w:bCs w:val="1"/>
          <w:color w:val="auto"/>
        </w:rPr>
        <w:t>Pre-commencement communications pursuant to Rule 13e-4(c) under the Exchange Act (17 CFR 240.13e-4(c))</w:t>
      </w:r>
    </w:p>
    <w:p>
      <w:pPr>
        <w:spacing w:after="0" w:line="17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14" w:lineRule="exact"/>
        <w:rPr>
          <w:sz w:val="24"/>
          <w:szCs w:val="24"/>
          <w:color w:val="auto"/>
        </w:rPr>
      </w:pPr>
    </w:p>
    <w:tbl>
      <w:tblPr>
        <w:tblLayout w:type="fixed"/>
        <w:tblInd w:w="18" w:type="dxa"/>
        <w:tblCellMar>
          <w:top w:w="0" w:type="dxa"/>
          <w:left w:w="0" w:type="dxa"/>
          <w:bottom w:w="0" w:type="dxa"/>
          <w:right w:w="0" w:type="dxa"/>
        </w:tblCellMar>
      </w:tblPr>
      <w:tr>
        <w:trPr>
          <w:trHeight w:val="132"/>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 on which registered</w:t>
            </w:r>
          </w:p>
        </w:tc>
      </w:tr>
      <w:tr>
        <w:trPr>
          <w:trHeight w:val="1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Common Stock, $0.01 par value</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87"/>
              </w:rPr>
              <w:t>PLTK</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5"/>
              </w:rPr>
              <w:t>The Nasdaq Stock Market LLC</w:t>
            </w:r>
          </w:p>
        </w:tc>
      </w:tr>
    </w:tbl>
    <w:p>
      <w:pPr>
        <w:spacing w:after="0" w:line="211" w:lineRule="exact"/>
        <w:rPr>
          <w:sz w:val="24"/>
          <w:szCs w:val="24"/>
          <w:color w:val="auto"/>
        </w:rPr>
      </w:pPr>
    </w:p>
    <w:p>
      <w:pPr>
        <w:ind w:left="8" w:right="2020"/>
        <w:spacing w:after="0" w:line="12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 230.405 of this chapter) or Rule 12b-2 of the Securities Exchange Act of 1934 (§ 240.12b 2 of this chapter). Emerging growth company </w:t>
      </w:r>
      <w:r>
        <w:rPr>
          <w:rFonts w:ascii="MS PGothic" w:cs="MS PGothic" w:eastAsia="MS PGothic" w:hAnsi="MS PGothic"/>
          <w:sz w:val="10"/>
          <w:szCs w:val="10"/>
          <w:color w:val="auto"/>
        </w:rPr>
        <w:t>☐</w:t>
      </w:r>
    </w:p>
    <w:p>
      <w:pPr>
        <w:spacing w:after="0" w:line="110" w:lineRule="exact"/>
        <w:rPr>
          <w:sz w:val="24"/>
          <w:szCs w:val="24"/>
          <w:color w:val="auto"/>
        </w:rPr>
      </w:pPr>
    </w:p>
    <w:p>
      <w:pPr>
        <w:ind w:left="8"/>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605790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044" w:right="299" w:bottom="1440" w:gutter="0" w:footer="0" w:header="0"/>
        </w:sectPr>
      </w:pPr>
    </w:p>
    <w:bookmarkStart w:id="1" w:name="page2"/>
    <w:bookmarkEnd w:id="1"/>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May 7, 2026, Playtika Holding Corp. issued a press release announcing its financial results for the quarter ended March 31, 2026. A copy of the press release is furnished herewith as Exhibit 99.1.</w:t>
      </w:r>
    </w:p>
    <w:p>
      <w:pPr>
        <w:spacing w:after="0" w:line="168"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Item 2.02, including Exhibit 99.1,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33"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2"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99.1</w:t>
            </w: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0000FF"/>
              </w:rPr>
              <w:t>Press Release dated May 7, 2026</w:t>
            </w:r>
          </w:p>
        </w:tc>
      </w:tr>
      <w:tr>
        <w:trPr>
          <w:trHeight w:val="27"/>
        </w:trPr>
        <w:tc>
          <w:tcPr>
            <w:tcW w:w="1040" w:type="dxa"/>
            <w:vAlign w:val="bottom"/>
            <w:shd w:val="clear" w:color="auto" w:fill="CCEEFF"/>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300" w:type="dxa"/>
            <w:vAlign w:val="bottom"/>
            <w:shd w:val="clear" w:color="auto" w:fill="CCEEFF"/>
          </w:tcPr>
          <w:p>
            <w:pPr>
              <w:spacing w:after="0"/>
              <w:rPr>
                <w:sz w:val="2"/>
                <w:szCs w:val="2"/>
                <w:color w:val="auto"/>
              </w:rPr>
            </w:pPr>
          </w:p>
        </w:tc>
      </w:tr>
      <w:tr>
        <w:trPr>
          <w:trHeight w:val="126"/>
        </w:trPr>
        <w:tc>
          <w:tcPr>
            <w:tcW w:w="10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99.2</w:t>
            </w:r>
          </w:p>
        </w:tc>
        <w:tc>
          <w:tcPr>
            <w:tcW w:w="10260" w:type="dxa"/>
            <w:vAlign w:val="bottom"/>
            <w:gridSpan w:val="3"/>
          </w:tcPr>
          <w:p>
            <w:pPr>
              <w:spacing w:after="0" w:line="126" w:lineRule="exact"/>
              <w:rPr>
                <w:sz w:val="20"/>
                <w:szCs w:val="20"/>
                <w:color w:val="auto"/>
              </w:rPr>
            </w:pPr>
            <w:r>
              <w:rPr>
                <w:rFonts w:ascii="Times New Roman" w:cs="Times New Roman" w:eastAsia="Times New Roman" w:hAnsi="Times New Roman"/>
                <w:sz w:val="12"/>
                <w:szCs w:val="12"/>
                <w:color w:val="0000FF"/>
              </w:rPr>
              <w:t>First Quarter 2026 Earnings Presentation</w:t>
            </w:r>
          </w:p>
        </w:tc>
      </w:tr>
      <w:tr>
        <w:trPr>
          <w:trHeight w:val="27"/>
        </w:trPr>
        <w:tc>
          <w:tcPr>
            <w:tcW w:w="1040" w:type="dxa"/>
            <w:vAlign w:val="bottom"/>
          </w:tcPr>
          <w:p>
            <w:pPr>
              <w:spacing w:after="0"/>
              <w:rPr>
                <w:sz w:val="2"/>
                <w:szCs w:val="2"/>
                <w:color w:val="auto"/>
              </w:rPr>
            </w:pPr>
          </w:p>
        </w:tc>
        <w:tc>
          <w:tcPr>
            <w:tcW w:w="15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300" w:type="dxa"/>
            <w:vAlign w:val="bottom"/>
          </w:tcPr>
          <w:p>
            <w:pPr>
              <w:spacing w:after="0"/>
              <w:rPr>
                <w:sz w:val="2"/>
                <w:szCs w:val="2"/>
                <w:color w:val="auto"/>
              </w:rPr>
            </w:pPr>
          </w:p>
        </w:tc>
      </w:tr>
      <w:tr>
        <w:trPr>
          <w:trHeight w:val="15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104</w:t>
            </w:r>
          </w:p>
        </w:tc>
        <w:tc>
          <w:tcPr>
            <w:tcW w:w="10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999"/>
        </w:trPr>
        <w:tc>
          <w:tcPr>
            <w:tcW w:w="10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89"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PLAYTIKA HOLDING CORP.</w:t>
      </w:r>
    </w:p>
    <w:p>
      <w:pPr>
        <w:spacing w:after="0" w:line="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i w:val="1"/>
          <w:iCs w:val="1"/>
          <w:color w:val="auto"/>
        </w:rPr>
        <w:t>Registrant</w:t>
      </w:r>
    </w:p>
    <w:p>
      <w:pPr>
        <w:spacing w:after="0" w:line="19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2"/>
          <w:szCs w:val="12"/>
          <w:color w:val="auto"/>
        </w:rPr>
        <w:t>By: /s/ Tae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10795</wp:posOffset>
            </wp:positionV>
            <wp:extent cx="3314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4700" cy="5715"/>
                    </a:xfrm>
                    <a:prstGeom prst="rect">
                      <a:avLst/>
                    </a:prstGeom>
                    <a:noFill/>
                  </pic:spPr>
                </pic:pic>
              </a:graphicData>
            </a:graphic>
          </wp:anchor>
        </w:drawing>
      </w:r>
    </w:p>
    <w:p>
      <w:pPr>
        <w:spacing w:after="0" w:line="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Tae Lee</w:t>
      </w:r>
    </w:p>
    <w:p>
      <w:pPr>
        <w:spacing w:after="0" w:line="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as of May 7, 2026</w:t>
      </w:r>
    </w:p>
    <w:p>
      <w:pPr>
        <w:sectPr>
          <w:pgSz w:w="11900" w:h="16838" w:orient="portrait"/>
          <w:cols w:equalWidth="0" w:num="1">
            <w:col w:w="10159"/>
          </w:cols>
          <w:pgMar w:left="300" w:top="989"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Playtika Holding Corp. Reports Q1 2026 Financial Results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Revenue of $744.7 million and Direct-to-Consumer (“DTC”) Revenue of $291.8 million</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Revenue Increased 9.7% Sequentially and 5.5% Year Over Year</w:t>
      </w:r>
    </w:p>
    <w:p>
      <w:pPr>
        <w:spacing w:after="0" w:line="1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i w:val="1"/>
          <w:iCs w:val="1"/>
          <w:color w:val="auto"/>
        </w:rPr>
        <w:t>DTC Platforms Revenue Increased 16.7% Sequentially and 62.8% Year Over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Herzliya, Israel - May 7, 2026 </w:t>
      </w:r>
      <w:r>
        <w:rPr>
          <w:rFonts w:ascii="Times New Roman" w:cs="Times New Roman" w:eastAsia="Times New Roman" w:hAnsi="Times New Roman"/>
          <w:sz w:val="12"/>
          <w:szCs w:val="12"/>
          <w:color w:val="auto"/>
        </w:rPr>
        <w:t>- Playtika Holding Corp. (NASDAQ: PLTK) today released financial results for its first quarter for the period ending March 31, 2026.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Financial Highlights</w:t>
      </w:r>
    </w:p>
    <w:p>
      <w:pPr>
        <w:spacing w:after="0" w:line="193"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Revenue of $744.7 million increased 9.7% sequentially and 5.5% year over year.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Record DTC platforms revenue of $291.8 million increased 16.7% sequentially and 62.8% year over year.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Net Loss of $(57.5) million and Adjusted Net Income of $13.6 million.</w:t>
      </w:r>
    </w:p>
    <w:p>
      <w:pPr>
        <w:spacing w:after="0" w:line="1"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Loss reflects a non-cash impact from contingent consideration remeasurement related to the earnout payment tied to the SuperPlay acquisition.</w:t>
      </w:r>
    </w:p>
    <w:p>
      <w:pPr>
        <w:spacing w:after="0" w:line="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Adjusted EBITDA of $125.2 million decreased (37.8)% sequentially and (25.2)% year over year.</w:t>
      </w:r>
    </w:p>
    <w:p>
      <w:pPr>
        <w:spacing w:after="0" w:line="19"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2"/>
          <w:szCs w:val="12"/>
          <w:color w:val="auto"/>
        </w:rPr>
        <w:t>Cash, cash equivalents, and short-term investments totaled $779.2 million as of March 31, 2026.</w:t>
      </w:r>
    </w:p>
    <w:p>
      <w:pPr>
        <w:spacing w:after="0" w:line="1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delivered a strong start to 2026, led by continued momentum in Disney Solitaire and another quarter of record breaking performance in Direct-to-Consumer,” said Robert Antokol, Chief Executive Officer. “Just as importantly, we are seeing signs of improved stability across our organic portfolio quarter over quarter. We remain focused on disciplined execution, investing behind the opportunities we believe can drive sustained engagement and long-term value creation.”</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“Q1 performance is ahead of our prior expectations, with SuperPlay tracking ahead of plan and the core portfolio showing strength,” said Tae Lee, Chief Financial Officer. “Our Adjusted EBITDA for the quarter reflects a planned, front-loaded investment cadence as SuperPlay scales, which we expect to normalize over the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Board Appoints Tae Lee as Chief Financial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Board of Directors has appointed Tae Lee as Chief Financial Officer, effective May 5th, following his service as Acting Chief Financial Officer since April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Selected Operational Metrics and Business Highlights</w:t>
      </w:r>
    </w:p>
    <w:p>
      <w:pPr>
        <w:spacing w:after="0" w:line="193"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Times New Roman" w:cs="Times New Roman" w:eastAsia="Times New Roman" w:hAnsi="Times New Roman"/>
          <w:sz w:val="12"/>
          <w:szCs w:val="12"/>
          <w:color w:val="auto"/>
        </w:rPr>
        <w:t>Average Daily Paying Users of 387K increased 8.4% sequentially and decreased (0.8)% year over year.</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Times New Roman" w:cs="Times New Roman" w:eastAsia="Times New Roman" w:hAnsi="Times New Roman"/>
          <w:sz w:val="12"/>
          <w:szCs w:val="12"/>
          <w:color w:val="auto"/>
        </w:rPr>
        <w:t>Average Payer Conversion of 4.5%, consistent with Q4 2025 conversion and up from 4.3% in Q1 2025.</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Bingo Blitz revenue of $153.7 million decreased (3.0)% sequentially and (5.4)% year over year.</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Disney Solitaire revenue of $123.3 million increased 72.1% sequentially.</w:t>
      </w:r>
    </w:p>
    <w:p>
      <w:pPr>
        <w:spacing w:after="0" w:line="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June’s Journey revenue of $76.0 million increased 8.7% sequentially and 10.4% year over year.</w:t>
      </w:r>
    </w:p>
    <w:p>
      <w:pPr>
        <w:spacing w:after="0" w:line="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All-time high in revenue and DTC platforms revenue.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Financial Outlook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raising our full-year 2026 guidance to $2.75 - $2.85 billion (from $2.70 - $2.80 billion) and increasing our Adjusted EBITDA range to $750 - $790 million (from $730 - $770 million).</w:t>
      </w:r>
    </w:p>
    <w:p>
      <w:pPr>
        <w:sectPr>
          <w:pgSz w:w="11900" w:h="16838" w:orient="portrait"/>
          <w:cols w:equalWidth="0" w:num="1">
            <w:col w:w="11300"/>
          </w:cols>
          <w:pgMar w:left="300" w:top="989"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Playtika management will host a conference call at 5:30 a.m. Pacific Time (8:30 a.m. Eastern Time) today to discuss the company’s results. The conference call can be accessed via a webcast accessible at investors.playtika.com. A replay of the call will be available through the website one hour following the call and will be archived for one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Operating Results of Playtika Holding Corp.</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9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 March 31,</w:t>
            </w:r>
          </w:p>
        </w:tc>
        <w:tc>
          <w:tcPr>
            <w:tcW w:w="1000" w:type="dxa"/>
            <w:vAlign w:val="bottom"/>
            <w:tcBorders>
              <w:bottom w:val="single" w:sz="8" w:color="auto"/>
            </w:tcBorders>
          </w:tcPr>
          <w:p>
            <w:pPr>
              <w:spacing w:after="0"/>
              <w:rPr>
                <w:sz w:val="11"/>
                <w:szCs w:val="11"/>
                <w:color w:val="auto"/>
              </w:rPr>
            </w:pPr>
          </w:p>
        </w:tc>
      </w:tr>
      <w:tr>
        <w:trPr>
          <w:trHeight w:val="143"/>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percentages, Average DPUs, and ARPDAU)</w:t>
            </w: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744.7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706.0</w:t>
            </w:r>
          </w:p>
        </w:tc>
      </w:tr>
      <w:tr>
        <w:trPr>
          <w:trHeight w:val="142"/>
        </w:trPr>
        <w:tc>
          <w:tcPr>
            <w:tcW w:w="7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costs and expenses</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794.3</w:t>
            </w:r>
          </w:p>
        </w:tc>
        <w:tc>
          <w:tcPr>
            <w:tcW w:w="80" w:type="dxa"/>
            <w:vAlign w:val="bottom"/>
          </w:tcPr>
          <w:p>
            <w:pPr>
              <w:spacing w:after="0"/>
              <w:rPr>
                <w:sz w:val="12"/>
                <w:szCs w:val="12"/>
                <w:color w:val="auto"/>
              </w:rPr>
            </w:pPr>
          </w:p>
        </w:tc>
        <w:tc>
          <w:tcPr>
            <w:tcW w:w="66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638.2</w:t>
            </w:r>
          </w:p>
        </w:tc>
      </w:tr>
      <w:tr>
        <w:trPr>
          <w:trHeight w:val="14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income (loss)</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67.8</w:t>
            </w:r>
          </w:p>
        </w:tc>
      </w:tr>
      <w:tr>
        <w:trPr>
          <w:trHeight w:val="143"/>
        </w:trPr>
        <w:tc>
          <w:tcPr>
            <w:tcW w:w="7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(57.5)</w:t>
            </w:r>
          </w:p>
        </w:tc>
        <w:tc>
          <w:tcPr>
            <w:tcW w:w="80" w:type="dxa"/>
            <w:vAlign w:val="bottom"/>
          </w:tcPr>
          <w:p>
            <w:pPr>
              <w:spacing w:after="0"/>
              <w:rPr>
                <w:sz w:val="12"/>
                <w:szCs w:val="12"/>
                <w:color w:val="auto"/>
              </w:rPr>
            </w:pPr>
          </w:p>
        </w:tc>
        <w:tc>
          <w:tcPr>
            <w:tcW w:w="66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30.6</w:t>
            </w:r>
          </w:p>
        </w:tc>
      </w:tr>
      <w:tr>
        <w:trPr>
          <w:trHeight w:val="14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167.3</w:t>
            </w:r>
          </w:p>
        </w:tc>
      </w:tr>
      <w:tr>
        <w:trPr>
          <w:trHeight w:val="143"/>
        </w:trPr>
        <w:tc>
          <w:tcPr>
            <w:tcW w:w="7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Net income margin</w:t>
            </w: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4.3 %</w:t>
            </w:r>
          </w:p>
        </w:tc>
      </w:tr>
      <w:tr>
        <w:trPr>
          <w:trHeight w:val="14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Adjusted EBITDA margin</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16.8 %</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23.7 %</w:t>
            </w:r>
          </w:p>
        </w:tc>
      </w:tr>
      <w:tr>
        <w:trPr>
          <w:trHeight w:val="180"/>
        </w:trPr>
        <w:tc>
          <w:tcPr>
            <w:tcW w:w="7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Non-financial performance metrics</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2"/>
        </w:trPr>
        <w:tc>
          <w:tcPr>
            <w:tcW w:w="7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Average DAUs</w:t>
            </w:r>
          </w:p>
        </w:tc>
        <w:tc>
          <w:tcPr>
            <w:tcW w:w="40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9.0</w:t>
            </w:r>
          </w:p>
        </w:tc>
      </w:tr>
      <w:tr>
        <w:trPr>
          <w:trHeight w:val="146"/>
        </w:trPr>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Average DPUs (in thousands)</w:t>
            </w:r>
          </w:p>
        </w:tc>
        <w:tc>
          <w:tcPr>
            <w:tcW w:w="4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387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390</w:t>
            </w:r>
          </w:p>
        </w:tc>
      </w:tr>
      <w:tr>
        <w:trPr>
          <w:trHeight w:val="142"/>
        </w:trPr>
        <w:tc>
          <w:tcPr>
            <w:tcW w:w="7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Average Daily Payer Conversion</w:t>
            </w:r>
          </w:p>
        </w:tc>
        <w:tc>
          <w:tcPr>
            <w:tcW w:w="4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4.3 %</w:t>
            </w:r>
          </w:p>
        </w:tc>
      </w:tr>
      <w:tr>
        <w:trPr>
          <w:trHeight w:val="146"/>
        </w:trPr>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ARPDAU</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0.94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0.87</w:t>
            </w:r>
          </w:p>
        </w:tc>
      </w:tr>
      <w:tr>
        <w:trPr>
          <w:trHeight w:val="140"/>
        </w:trPr>
        <w:tc>
          <w:tcPr>
            <w:tcW w:w="7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Average MAUs</w:t>
            </w:r>
          </w:p>
        </w:tc>
        <w:tc>
          <w:tcPr>
            <w:tcW w:w="400" w:type="dxa"/>
            <w:vAlign w:val="bottom"/>
          </w:tcPr>
          <w:p>
            <w:pPr>
              <w:spacing w:after="0"/>
              <w:rPr>
                <w:sz w:val="12"/>
                <w:szCs w:val="12"/>
                <w:color w:val="auto"/>
              </w:rPr>
            </w:pPr>
          </w:p>
        </w:tc>
        <w:tc>
          <w:tcPr>
            <w:tcW w:w="12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31.8</w:t>
            </w: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Playtika Holding Corp.</w:t>
      </w:r>
    </w:p>
    <w:p>
      <w:pPr>
        <w:spacing w:after="0" w:line="17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Playtika (NASDAQ: PLTK) is a mobile gaming entertainment and technology market leader with a portfolio of multiple game titles. Founded in 2010, Playtika was among the first to offer free-to-play social games on social networks and, shortly after, on mobile platforms. Headquartered in Herzliya, Israel, and guided by a mission to entertain the world through infinite ways to play, Playtika has employees across offices worldwide.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Information</w:t>
      </w:r>
    </w:p>
    <w:p>
      <w:pPr>
        <w:spacing w:after="0" w:line="1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the U.S. Private Securities Litigation Reform Act of 1995 and Section 21E of the Exchange Act. All statements other than statements of historical facts contained in this press release, including statements regarding our business strategy, plans and our objectives for future operations, are forward-looking statements. Further, statements that include words such as “anticipate,” “believe,” “continue,” “could,” “estimate,” “expect,” “future,” “intend,” “intent,” “may,” “might,” “potential,” “present,” “preserve,” “project,” “pursue,” “should,” “will,” or “would,” or the negative of these words or other words or expressions of similar meaning may identify forward-looking statements.</w:t>
      </w:r>
    </w:p>
    <w:p>
      <w:pPr>
        <w:spacing w:after="0" w:line="1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 achievement or success of the matters covered by such forward-looking statements involves significant risks, uncertainties and assumptions, including, but not limited to, the risks and uncertainties discussed in our filings with the Securities and Exchange Commission. Moreover, we operate in a very competitive and rapidly changing environment and industry. As a result, it is not possible for our management to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w:t>
      </w:r>
    </w:p>
    <w:p>
      <w:pPr>
        <w:sectPr>
          <w:pgSz w:w="11900" w:h="16838" w:orient="portrait"/>
          <w:cols w:equalWidth="0" w:num="1">
            <w:col w:w="11300"/>
          </w:cols>
          <w:pgMar w:left="300" w:top="115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statements discussed in this press release may not occur and actual results could differ materially and adversely from those anticipated, predicted or implied in the forward-looking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Important factors that could cause actual results to differ materially from estimates or projections contained in the forward-looking statements include without limitation:</w:t>
      </w:r>
    </w:p>
    <w:p>
      <w:pPr>
        <w:spacing w:after="0" w:line="159"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actions of our majority shareholder or other third parties that influence us;</w:t>
      </w:r>
    </w:p>
    <w:p>
      <w:pPr>
        <w:spacing w:after="0" w:line="9" w:lineRule="exact"/>
        <w:rPr>
          <w:rFonts w:ascii="Times New Roman" w:cs="Times New Roman" w:eastAsia="Times New Roman" w:hAnsi="Times New Roman"/>
          <w:sz w:val="12"/>
          <w:szCs w:val="12"/>
          <w:color w:val="auto"/>
        </w:rPr>
      </w:pP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third-party platforms, such as the iOS App Store and Google Play Store, to distribute our games and collect revenues, and the risk that such platforms may adversely change their policies;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a limited number of games to generate the majority of our revenue;</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a small percentage of total users to generate a majority of our revenue;</w:t>
      </w:r>
    </w:p>
    <w:p>
      <w:pPr>
        <w:ind w:left="420" w:hanging="212"/>
        <w:spacing w:after="0" w:line="21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free-to-play business model, and the value of virtual items sold in our games, is highly dependent on how we manage the game revenues and pricing models;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refinance our indebtedness, including, without limitation, our $550 million revolving credit facility which is set to expire in March 2027, or to obtain additional financing on favorable terms or at all;</w:t>
      </w:r>
    </w:p>
    <w:p>
      <w:pPr>
        <w:ind w:left="420" w:hanging="212"/>
        <w:spacing w:after="0" w:line="234" w:lineRule="auto"/>
        <w:tabs>
          <w:tab w:leader="none" w:pos="417"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identify acquisition targets that fit our strategy or complete acquisitions and integrate any acquired businesses successfully or realize the anticipated benefits of such acquisitions could limit our growth, disrupt our plans and operations or impact the amount of capital allocated to mergers and acquisitions;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compete in a highly competitive industry with low barriers to entry;</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existing players, attract new players and increase the monetization of our player base;</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and/or launch new products and content or otherwise execute against our product roadmap strategy;</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significant indebtedness and are subject to the obligations and restrictive covenants under our debt instruments;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an economic recession or periods of increased inflation, and any reductions to household spending on the types of discretionary entertainment we offer;</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controlled company status;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or regulatory restrictions or proceedings could adversely impact our business and limit the growth of our operations;</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our international operations and ownership, including our significant operations in Israel and Ukraine and the fact that our controlling stockholder is a Chinese-owned company;</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geopolitical events such as the Wars in Israel and Ukraine;</w:t>
      </w:r>
    </w:p>
    <w:p>
      <w:pPr>
        <w:ind w:left="420" w:hanging="212"/>
        <w:spacing w:after="0" w:line="21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reliance on key personnel;</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or other factors affecting the payment of dividends, including the decision whether or not to pay a dividend;</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uncertainties regarding the amount and timing of repurchases under our stock repurchase program;</w:t>
      </w:r>
    </w:p>
    <w:p>
      <w:pPr>
        <w:ind w:left="420" w:hanging="212"/>
        <w:spacing w:after="0" w:line="234"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breaches or other disruptions could compromise our information or our players’ information and expose us to liability; and</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protect our intellectual property and proprietary information could adversely impact our business.</w:t>
      </w:r>
    </w:p>
    <w:p>
      <w:pPr>
        <w:sectPr>
          <w:pgSz w:w="11900" w:h="16838" w:orient="portrait"/>
          <w:cols w:equalWidth="0" w:num="1">
            <w:col w:w="11300"/>
          </w:cols>
          <w:pgMar w:left="300" w:top="984" w:right="29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Current assets</w:t>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Cash and cash equivalents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Short-term investments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Restricted cash</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Accounts receivable</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Prepaid expenses and other current assets</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Total current assets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Intangible assets other than goodwill,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Goodwill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Deferred tax assets,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Investments in unconsolidated entities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non-current assets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Total assets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LIABILITIES AND STOCKHOLDERS' EQUITY (DEFICIT)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Current liabilities</w:t>
      </w:r>
    </w:p>
    <w:p>
      <w:pPr>
        <w:spacing w:after="0" w:line="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Current maturities of long-term debt</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Accounts payable</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Contingent consideration</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Total current liabilities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Long-term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Contingent consideration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Deferred tax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p>
      <w:pPr>
        <w:spacing w:after="0" w:line="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Total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Commitments and contingencies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21"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1"/>
          <w:szCs w:val="11"/>
          <w:b w:val="1"/>
          <w:bCs w:val="1"/>
          <w:color w:val="auto"/>
        </w:rPr>
        <w:t>CONSOLIDATED BALANCE SHEETS</w:t>
      </w:r>
    </w:p>
    <w:p>
      <w:pPr>
        <w:spacing w:after="0" w:line="18"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2"/>
          <w:szCs w:val="12"/>
          <w:b w:val="1"/>
          <w:bCs w:val="1"/>
          <w:color w:val="auto"/>
        </w:rPr>
        <w:t>(In millions, except par value)</w:t>
      </w:r>
    </w:p>
    <w:p>
      <w:pPr>
        <w:spacing w:after="0" w:line="22" w:lineRule="exact"/>
        <w:rPr>
          <w:sz w:val="20"/>
          <w:szCs w:val="20"/>
          <w:color w:val="auto"/>
        </w:rPr>
      </w:pPr>
    </w:p>
    <w:tbl>
      <w:tblPr>
        <w:tblLayout w:type="fixed"/>
        <w:tblInd w:w="3460" w:type="dxa"/>
        <w:tblCellMar>
          <w:top w:w="0" w:type="dxa"/>
          <w:left w:w="0" w:type="dxa"/>
          <w:bottom w:w="0" w:type="dxa"/>
          <w:right w:w="0" w:type="dxa"/>
        </w:tblCellMar>
      </w:tblPr>
      <w:tr>
        <w:trPr>
          <w:trHeight w:val="142"/>
        </w:trPr>
        <w:tc>
          <w:tcPr>
            <w:tcW w:w="280" w:type="dxa"/>
            <w:vAlign w:val="bottom"/>
          </w:tcPr>
          <w:p>
            <w:pPr>
              <w:spacing w:after="0"/>
              <w:rPr>
                <w:sz w:val="12"/>
                <w:szCs w:val="1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260" w:type="dxa"/>
            <w:vAlign w:val="bottom"/>
          </w:tcPr>
          <w:p>
            <w:pPr>
              <w:spacing w:after="0"/>
              <w:rPr>
                <w:sz w:val="12"/>
                <w:szCs w:val="12"/>
                <w:color w:val="auto"/>
              </w:rPr>
            </w:pPr>
          </w:p>
        </w:tc>
        <w:tc>
          <w:tcPr>
            <w:tcW w:w="130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46"/>
        </w:trPr>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0"/>
              </w:rPr>
              <w:t>2026</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3"/>
        </w:trPr>
        <w:tc>
          <w:tcPr>
            <w:tcW w:w="280" w:type="dxa"/>
            <w:vAlign w:val="bottom"/>
          </w:tcPr>
          <w:p>
            <w:pPr>
              <w:spacing w:after="0"/>
              <w:rPr>
                <w:sz w:val="11"/>
                <w:szCs w:val="11"/>
                <w:color w:val="auto"/>
              </w:rPr>
            </w:pPr>
          </w:p>
        </w:tc>
        <w:tc>
          <w:tcPr>
            <w:tcW w:w="1300" w:type="dxa"/>
            <w:vAlign w:val="bottom"/>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484"/>
        </w:trPr>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779.2</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684.2</w:t>
            </w:r>
          </w:p>
        </w:tc>
      </w:tr>
      <w:tr>
        <w:trPr>
          <w:trHeight w:val="162"/>
        </w:trPr>
        <w:tc>
          <w:tcPr>
            <w:tcW w:w="2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161.8</w:t>
            </w:r>
          </w:p>
        </w:tc>
      </w:tr>
      <w:tr>
        <w:trPr>
          <w:trHeight w:val="164"/>
        </w:trPr>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108.2</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80.4</w:t>
            </w:r>
          </w:p>
        </w:tc>
      </w:tr>
      <w:tr>
        <w:trPr>
          <w:trHeight w:val="140"/>
        </w:trPr>
        <w:tc>
          <w:tcPr>
            <w:tcW w:w="2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1,068.9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1,063.9</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401.0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425.7</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1,695.7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1,695.7</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r>
      <w:tr>
        <w:trPr>
          <w:trHeight w:val="164"/>
        </w:trPr>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115.3</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115.8</w:t>
            </w:r>
          </w:p>
        </w:tc>
      </w:tr>
      <w:tr>
        <w:trPr>
          <w:trHeight w:val="133"/>
        </w:trPr>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3,686.9</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3,718.9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22"/>
        </w:trPr>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459.0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454.0</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r>
      <w:tr>
        <w:trPr>
          <w:trHeight w:val="164"/>
        </w:trPr>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321.3</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395.0</w:t>
            </w:r>
          </w:p>
        </w:tc>
      </w:tr>
      <w:tr>
        <w:trPr>
          <w:trHeight w:val="140"/>
        </w:trPr>
        <w:tc>
          <w:tcPr>
            <w:tcW w:w="280" w:type="dxa"/>
            <w:vAlign w:val="bottom"/>
          </w:tcPr>
          <w:p>
            <w:pPr>
              <w:spacing w:after="0"/>
              <w:rPr>
                <w:sz w:val="12"/>
                <w:szCs w:val="12"/>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904.1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967.9</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2,375.4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2,378.0</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370.0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280.0</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w:t>
            </w:r>
          </w:p>
        </w:tc>
      </w:tr>
      <w:tr>
        <w:trPr>
          <w:trHeight w:val="162"/>
        </w:trPr>
        <w:tc>
          <w:tcPr>
            <w:tcW w:w="28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r>
      <w:tr>
        <w:trPr>
          <w:trHeight w:val="164"/>
        </w:trPr>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387.1</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380.8</w:t>
            </w:r>
          </w:p>
        </w:tc>
      </w:tr>
      <w:tr>
        <w:trPr>
          <w:trHeight w:val="142"/>
        </w:trPr>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4,150.0</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-3308350</wp:posOffset>
            </wp:positionV>
            <wp:extent cx="7160895" cy="97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9715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-3108325</wp:posOffset>
            </wp:positionV>
            <wp:extent cx="7160895"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-2902585</wp:posOffset>
            </wp:positionV>
            <wp:extent cx="7160895"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-2696845</wp:posOffset>
            </wp:positionV>
            <wp:extent cx="7160895"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-2491105</wp:posOffset>
            </wp:positionV>
            <wp:extent cx="7160895"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-2285365</wp:posOffset>
            </wp:positionV>
            <wp:extent cx="7160895"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-2079625</wp:posOffset>
            </wp:positionV>
            <wp:extent cx="7160895"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-1873885</wp:posOffset>
            </wp:positionV>
            <wp:extent cx="7160895"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-1668145</wp:posOffset>
            </wp:positionV>
            <wp:extent cx="7160895" cy="1085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8585"/>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-1445260</wp:posOffset>
            </wp:positionV>
            <wp:extent cx="716089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-1239520</wp:posOffset>
            </wp:positionV>
            <wp:extent cx="7160895"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-1033780</wp:posOffset>
            </wp:positionV>
            <wp:extent cx="7160895"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-828040</wp:posOffset>
            </wp:positionV>
            <wp:extent cx="716089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-622300</wp:posOffset>
            </wp:positionV>
            <wp:extent cx="716089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-416560</wp:posOffset>
            </wp:positionV>
            <wp:extent cx="716089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-210820</wp:posOffset>
            </wp:positionV>
            <wp:extent cx="7160895"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2870"/>
                    </a:xfrm>
                    <a:prstGeom prst="rect">
                      <a:avLst/>
                    </a:prstGeom>
                    <a:noFill/>
                  </pic:spPr>
                </pic:pic>
              </a:graphicData>
            </a:graphic>
          </wp:anchor>
        </w:drawing>
        <w:drawing>
          <wp:anchor simplePos="0" relativeHeight="251657728" behindDoc="1" locked="0" layoutInCell="0" allowOverlap="1">
            <wp:simplePos x="0" y="0"/>
            <wp:positionH relativeFrom="column">
              <wp:posOffset>-2914015</wp:posOffset>
            </wp:positionH>
            <wp:positionV relativeFrom="paragraph">
              <wp:posOffset>-5080</wp:posOffset>
            </wp:positionV>
            <wp:extent cx="7160895"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91440"/>
                    </a:xfrm>
                    <a:prstGeom prst="rect">
                      <a:avLst/>
                    </a:prstGeom>
                    <a:noFill/>
                  </pic:spPr>
                </pic:pic>
              </a:graphicData>
            </a:graphic>
          </wp:anchor>
        </w:drawing>
      </w:r>
    </w:p>
    <w:p>
      <w:pPr>
        <w:spacing w:after="0" w:line="297" w:lineRule="exact"/>
        <w:rPr>
          <w:sz w:val="20"/>
          <w:szCs w:val="20"/>
          <w:color w:val="auto"/>
        </w:rPr>
      </w:pPr>
    </w:p>
    <w:p>
      <w:pPr>
        <w:sectPr>
          <w:pgSz w:w="11900" w:h="16838" w:orient="portrait"/>
          <w:cols w:equalWidth="0" w:num="2">
            <w:col w:w="3880" w:space="720"/>
            <w:col w:w="6680"/>
          </w:cols>
          <w:pgMar w:left="300" w:top="989" w:right="319" w:bottom="1440" w:gutter="0" w:footer="0" w:header="0"/>
        </w:sectPr>
      </w:pPr>
    </w:p>
    <w:p>
      <w:pPr>
        <w:ind w:left="180"/>
        <w:spacing w:after="0"/>
        <w:rPr>
          <w:sz w:val="20"/>
          <w:szCs w:val="20"/>
          <w:color w:val="auto"/>
        </w:rPr>
      </w:pPr>
      <w:r>
        <w:rPr>
          <w:rFonts w:ascii="Times New Roman" w:cs="Times New Roman" w:eastAsia="Times New Roman" w:hAnsi="Times New Roman"/>
          <w:sz w:val="10"/>
          <w:szCs w:val="10"/>
          <w:color w:val="auto"/>
        </w:rPr>
        <w:t>Common stock of $0.01 par value; 1,600.0 shares authorized; 432.2 and 428.8 shares issued, respectively, and 380.4 and 377.0 shares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716089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2870"/>
                    </a:xfrm>
                    <a:prstGeom prst="rect">
                      <a:avLst/>
                    </a:prstGeom>
                    <a:noFill/>
                  </pic:spPr>
                </pic:pic>
              </a:graphicData>
            </a:graphic>
          </wp:anchor>
        </w:drawing>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Treasury stock at cost, 51.8 shares</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716089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287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Accumulated other comprehensive income</w:t>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7160895"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10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4.3</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62"/>
        </w:trPr>
        <w:tc>
          <w:tcPr>
            <w:tcW w:w="10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rPr>
              <w:t>(603.5)</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(603.5)</w:t>
            </w:r>
          </w:p>
        </w:tc>
      </w:tr>
      <w:tr>
        <w:trPr>
          <w:trHeight w:val="162"/>
        </w:trPr>
        <w:tc>
          <w:tcPr>
            <w:tcW w:w="10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1,436.2</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1,423.1</w:t>
            </w:r>
          </w:p>
        </w:tc>
      </w:tr>
      <w:tr>
        <w:trPr>
          <w:trHeight w:val="162"/>
        </w:trPr>
        <w:tc>
          <w:tcPr>
            <w:tcW w:w="1020" w:type="dxa"/>
            <w:vAlign w:val="bottom"/>
          </w:tcPr>
          <w:p>
            <w:pPr>
              <w:jc w:val="right"/>
              <w:ind w:right="606"/>
              <w:spacing w:after="0"/>
              <w:rPr>
                <w:sz w:val="20"/>
                <w:szCs w:val="20"/>
                <w:color w:val="auto"/>
              </w:rPr>
            </w:pPr>
            <w:r>
              <w:rPr>
                <w:rFonts w:ascii="Times New Roman" w:cs="Times New Roman" w:eastAsia="Times New Roman" w:hAnsi="Times New Roman"/>
                <w:sz w:val="11"/>
                <w:szCs w:val="11"/>
                <w:color w:val="auto"/>
              </w:rPr>
              <w:t>8.6</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w:t>
            </w:r>
          </w:p>
        </w:tc>
      </w:tr>
      <w:tr>
        <w:trPr>
          <w:trHeight w:val="162"/>
        </w:trPr>
        <w:tc>
          <w:tcPr>
            <w:tcW w:w="1020" w:type="dxa"/>
            <w:vAlign w:val="bottom"/>
          </w:tcPr>
          <w:p>
            <w:pPr>
              <w:jc w:val="right"/>
              <w:ind w:right="586"/>
              <w:spacing w:after="0"/>
              <w:rPr>
                <w:sz w:val="20"/>
                <w:szCs w:val="20"/>
                <w:color w:val="auto"/>
              </w:rPr>
            </w:pPr>
            <w:r>
              <w:rPr>
                <w:rFonts w:ascii="Times New Roman" w:cs="Times New Roman" w:eastAsia="Times New Roman" w:hAnsi="Times New Roman"/>
                <w:sz w:val="11"/>
                <w:szCs w:val="11"/>
                <w:color w:val="auto"/>
                <w:w w:val="89"/>
              </w:rPr>
              <w:t>(1,308.7)</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(1,251.2)</w:t>
            </w:r>
          </w:p>
        </w:tc>
      </w:tr>
    </w:tbl>
    <w:p>
      <w:pPr>
        <w:spacing w:after="0" w:line="1" w:lineRule="exact"/>
        <w:rPr>
          <w:sz w:val="20"/>
          <w:szCs w:val="20"/>
          <w:color w:val="auto"/>
        </w:rPr>
      </w:pPr>
    </w:p>
    <w:p>
      <w:pPr>
        <w:sectPr>
          <w:pgSz w:w="11900" w:h="16838" w:orient="portrait"/>
          <w:cols w:equalWidth="0" w:num="2">
            <w:col w:w="8500" w:space="720"/>
            <w:col w:w="2060"/>
          </w:cols>
          <w:pgMar w:left="300" w:top="989" w:right="319" w:bottom="1440" w:gutter="0" w:footer="0" w:header="0"/>
          <w:type w:val="continuous"/>
        </w:sectPr>
      </w:pPr>
    </w:p>
    <w:tbl>
      <w:tblPr>
        <w:tblLayout w:type="fixed"/>
        <w:tblInd w:w="0" w:type="dxa"/>
        <w:tblCellMar>
          <w:top w:w="0" w:type="dxa"/>
          <w:left w:w="0" w:type="dxa"/>
          <w:bottom w:w="0" w:type="dxa"/>
          <w:right w:w="0" w:type="dxa"/>
        </w:tblCellMar>
      </w:tblPr>
      <w:tr>
        <w:trPr>
          <w:trHeight w:val="146"/>
        </w:trPr>
        <w:tc>
          <w:tcPr>
            <w:tcW w:w="8060" w:type="dxa"/>
            <w:vAlign w:val="bottom"/>
            <w:tcBorders>
              <w:bottom w:val="single" w:sz="8" w:color="CCEEFF"/>
            </w:tcBorders>
          </w:tcPr>
          <w:p>
            <w:pPr>
              <w:jc w:val="center"/>
              <w:ind w:right="6126"/>
              <w:spacing w:after="0"/>
              <w:rPr>
                <w:sz w:val="20"/>
                <w:szCs w:val="20"/>
                <w:color w:val="auto"/>
              </w:rPr>
            </w:pPr>
            <w:r>
              <w:rPr>
                <w:rFonts w:ascii="Times New Roman" w:cs="Times New Roman" w:eastAsia="Times New Roman" w:hAnsi="Times New Roman"/>
                <w:sz w:val="11"/>
                <w:szCs w:val="11"/>
                <w:b w:val="1"/>
                <w:bCs w:val="1"/>
                <w:color w:val="auto"/>
                <w:w w:val="98"/>
              </w:rPr>
              <w:t>Total stockholders' deficit</w:t>
            </w:r>
          </w:p>
        </w:tc>
        <w:tc>
          <w:tcPr>
            <w:tcW w:w="6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(463.1)</w:t>
            </w: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(411.4)</w:t>
            </w:r>
          </w:p>
        </w:tc>
      </w:tr>
      <w:tr>
        <w:trPr>
          <w:trHeight w:val="149"/>
        </w:trPr>
        <w:tc>
          <w:tcPr>
            <w:tcW w:w="8060" w:type="dxa"/>
            <w:vAlign w:val="bottom"/>
            <w:tcBorders>
              <w:bottom w:val="single" w:sz="8" w:color="CCEEFF"/>
            </w:tcBorders>
            <w:shd w:val="clear" w:color="auto" w:fill="CCEEFF"/>
          </w:tcPr>
          <w:p>
            <w:pPr>
              <w:jc w:val="center"/>
              <w:ind w:right="6126"/>
              <w:spacing w:after="0"/>
              <w:rPr>
                <w:sz w:val="20"/>
                <w:szCs w:val="20"/>
                <w:color w:val="auto"/>
              </w:rPr>
            </w:pPr>
            <w:r>
              <w:rPr>
                <w:rFonts w:ascii="Times New Roman" w:cs="Times New Roman" w:eastAsia="Times New Roman" w:hAnsi="Times New Roman"/>
                <w:sz w:val="11"/>
                <w:szCs w:val="11"/>
                <w:b w:val="1"/>
                <w:bCs w:val="1"/>
                <w:color w:val="auto"/>
                <w:w w:val="97"/>
              </w:rPr>
              <w:t>Total liabilities and stockholders’ deficit</w:t>
            </w: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3,686.9</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3,718.9</w:t>
            </w:r>
          </w:p>
        </w:tc>
      </w:tr>
    </w:tbl>
    <w:p>
      <w:pPr>
        <w:sectPr>
          <w:pgSz w:w="11900" w:h="16838" w:orient="portrait"/>
          <w:cols w:equalWidth="0" w:num="1">
            <w:col w:w="11280"/>
          </w:cols>
          <w:pgMar w:left="300" w:top="989" w:right="31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millions, except for per share data)</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w:t>
            </w:r>
          </w:p>
        </w:tc>
        <w:tc>
          <w:tcPr>
            <w:tcW w:w="940" w:type="dxa"/>
            <w:vAlign w:val="bottom"/>
            <w:tcBorders>
              <w:bottom w:val="single" w:sz="8" w:color="auto"/>
            </w:tcBorders>
          </w:tcPr>
          <w:p>
            <w:pPr>
              <w:spacing w:after="0"/>
              <w:rPr>
                <w:sz w:val="11"/>
                <w:szCs w:val="11"/>
                <w:color w:val="auto"/>
              </w:rPr>
            </w:pPr>
          </w:p>
        </w:tc>
      </w:tr>
      <w:tr>
        <w:trPr>
          <w:trHeight w:val="141"/>
        </w:trPr>
        <w:tc>
          <w:tcPr>
            <w:tcW w:w="80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744.7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706.0</w:t>
            </w:r>
          </w:p>
        </w:tc>
      </w:tr>
      <w:tr>
        <w:trPr>
          <w:trHeight w:val="143"/>
        </w:trPr>
        <w:tc>
          <w:tcPr>
            <w:tcW w:w="8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Costs and expenses</w:t>
            </w: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5"/>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Cost of revenue</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197.4</w:t>
            </w:r>
          </w:p>
        </w:tc>
      </w:tr>
      <w:tr>
        <w:trPr>
          <w:trHeight w:val="142"/>
        </w:trPr>
        <w:tc>
          <w:tcPr>
            <w:tcW w:w="8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Research and development</w:t>
            </w: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103.8</w:t>
            </w:r>
          </w:p>
        </w:tc>
      </w:tr>
      <w:tr>
        <w:trPr>
          <w:trHeight w:val="146"/>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Sales and marketing</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271.8</w:t>
            </w:r>
          </w:p>
        </w:tc>
      </w:tr>
      <w:tr>
        <w:trPr>
          <w:trHeight w:val="142"/>
        </w:trPr>
        <w:tc>
          <w:tcPr>
            <w:tcW w:w="8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143.5</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65.2</w:t>
            </w:r>
          </w:p>
        </w:tc>
      </w:tr>
      <w:tr>
        <w:trPr>
          <w:trHeight w:val="135"/>
        </w:trPr>
        <w:tc>
          <w:tcPr>
            <w:tcW w:w="8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b w:val="1"/>
                <w:bCs w:val="1"/>
                <w:color w:val="auto"/>
              </w:rPr>
              <w:t>Total costs and expenses</w:t>
            </w:r>
          </w:p>
        </w:tc>
        <w:tc>
          <w:tcPr>
            <w:tcW w:w="9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794.3</w:t>
            </w:r>
          </w:p>
        </w:tc>
        <w:tc>
          <w:tcPr>
            <w:tcW w:w="8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638.2</w:t>
            </w:r>
          </w:p>
        </w:tc>
      </w:tr>
      <w:tr>
        <w:trPr>
          <w:trHeight w:val="131"/>
        </w:trPr>
        <w:tc>
          <w:tcPr>
            <w:tcW w:w="8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(loss) from operations</w:t>
            </w:r>
          </w:p>
        </w:tc>
        <w:tc>
          <w:tcPr>
            <w:tcW w:w="9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w:t>
            </w:r>
          </w:p>
        </w:tc>
      </w:tr>
      <w:tr>
        <w:trPr>
          <w:trHeight w:val="146"/>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and other, net</w:t>
            </w:r>
          </w:p>
        </w:tc>
        <w:tc>
          <w:tcPr>
            <w:tcW w:w="9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w:t>
            </w:r>
          </w:p>
        </w:tc>
      </w:tr>
      <w:tr>
        <w:trPr>
          <w:trHeight w:val="131"/>
        </w:trPr>
        <w:tc>
          <w:tcPr>
            <w:tcW w:w="8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Income (loss) before income taxes</w:t>
            </w:r>
          </w:p>
        </w:tc>
        <w:tc>
          <w:tcPr>
            <w:tcW w:w="9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r>
      <w:tr>
        <w:trPr>
          <w:trHeight w:val="146"/>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9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r>
      <w:tr>
        <w:trPr>
          <w:trHeight w:val="131"/>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w:t>
            </w:r>
          </w:p>
        </w:tc>
      </w:tr>
      <w:tr>
        <w:trPr>
          <w:trHeight w:val="126"/>
        </w:trPr>
        <w:tc>
          <w:tcPr>
            <w:tcW w:w="80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9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42"/>
        </w:trPr>
        <w:tc>
          <w:tcPr>
            <w:tcW w:w="8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w:t>
            </w:r>
          </w:p>
        </w:tc>
        <w:tc>
          <w:tcPr>
            <w:tcW w:w="9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r>
      <w:tr>
        <w:trPr>
          <w:trHeight w:val="146"/>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 in fair value of derivatives</w:t>
            </w:r>
          </w:p>
        </w:tc>
        <w:tc>
          <w:tcPr>
            <w:tcW w:w="9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r>
      <w:tr>
        <w:trPr>
          <w:trHeight w:val="131"/>
        </w:trPr>
        <w:tc>
          <w:tcPr>
            <w:tcW w:w="8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Total other comprehensive income (loss)</w:t>
            </w:r>
          </w:p>
        </w:tc>
        <w:tc>
          <w:tcPr>
            <w:tcW w:w="9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w:t>
            </w:r>
          </w:p>
        </w:tc>
      </w:tr>
      <w:tr>
        <w:trPr>
          <w:trHeight w:val="151"/>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Comprehensive income (loss)</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(64.8)</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r>
      <w:tr>
        <w:trPr>
          <w:trHeight w:val="162"/>
        </w:trPr>
        <w:tc>
          <w:tcPr>
            <w:tcW w:w="8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(loss) per share attributable to common stockholders, basic</w:t>
            </w:r>
          </w:p>
        </w:tc>
        <w:tc>
          <w:tcPr>
            <w:tcW w:w="94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60"/>
        </w:trPr>
        <w:tc>
          <w:tcPr>
            <w:tcW w:w="8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Net income (loss) per share attributable to common stockholders, diluted</w:t>
            </w:r>
          </w:p>
        </w:tc>
        <w:tc>
          <w:tcPr>
            <w:tcW w:w="94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0.08</w:t>
            </w:r>
          </w:p>
        </w:tc>
      </w:tr>
      <w:tr>
        <w:trPr>
          <w:trHeight w:val="16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Weighted-average shares used in computing net income (loss) per share attributable to common stockholders, basic</w:t>
            </w:r>
          </w:p>
        </w:tc>
        <w:tc>
          <w:tcPr>
            <w:tcW w:w="9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378.3</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375.4</w:t>
            </w:r>
          </w:p>
        </w:tc>
      </w:tr>
      <w:tr>
        <w:trPr>
          <w:trHeight w:val="144"/>
        </w:trPr>
        <w:tc>
          <w:tcPr>
            <w:tcW w:w="8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Weighted-average shares used in computing net income (loss) per share attributable to common stockholders, diluted</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378.3</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376.0</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989" w:right="2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PLAYTIKA HOLDING CORP.</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25"/>
        </w:trPr>
        <w:tc>
          <w:tcPr>
            <w:tcW w:w="80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Three months ended March 31,</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80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2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0" w:type="dxa"/>
            <w:vAlign w:val="bottom"/>
          </w:tcPr>
          <w:p>
            <w:pPr>
              <w:spacing w:after="0"/>
              <w:rPr>
                <w:sz w:val="1"/>
                <w:szCs w:val="1"/>
                <w:color w:val="auto"/>
              </w:rPr>
            </w:pPr>
          </w:p>
        </w:tc>
      </w:tr>
      <w:tr>
        <w:trPr>
          <w:trHeight w:val="123"/>
        </w:trPr>
        <w:tc>
          <w:tcPr>
            <w:tcW w:w="8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42"/>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Capitalization of internal use software costs</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 of software for internal use</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42"/>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Proceeds from short-term investments</w:t>
            </w:r>
          </w:p>
        </w:tc>
        <w:tc>
          <w:tcPr>
            <w:tcW w:w="92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135.6</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 of short-term investments</w:t>
            </w:r>
          </w:p>
        </w:tc>
        <w:tc>
          <w:tcPr>
            <w:tcW w:w="9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w:t>
            </w: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Other investing activities</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9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115.5</w:t>
            </w:r>
          </w:p>
        </w:tc>
        <w:tc>
          <w:tcPr>
            <w:tcW w:w="8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0" w:type="dxa"/>
            <w:vAlign w:val="bottom"/>
          </w:tcPr>
          <w:p>
            <w:pPr>
              <w:spacing w:after="0"/>
              <w:rPr>
                <w:sz w:val="1"/>
                <w:szCs w:val="1"/>
                <w:color w:val="auto"/>
              </w:rPr>
            </w:pPr>
          </w:p>
        </w:tc>
      </w:tr>
      <w:tr>
        <w:trPr>
          <w:trHeight w:val="123"/>
        </w:trPr>
        <w:tc>
          <w:tcPr>
            <w:tcW w:w="8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Dividend paid</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42"/>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Repayments on bank borrowings</w:t>
            </w:r>
          </w:p>
        </w:tc>
        <w:tc>
          <w:tcPr>
            <w:tcW w:w="9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of tax withholdings on stock-based payments</w:t>
            </w:r>
          </w:p>
        </w:tc>
        <w:tc>
          <w:tcPr>
            <w:tcW w:w="9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0" w:type="dxa"/>
            <w:vAlign w:val="bottom"/>
          </w:tcPr>
          <w:p>
            <w:pPr>
              <w:spacing w:after="0"/>
              <w:rPr>
                <w:sz w:val="1"/>
                <w:szCs w:val="1"/>
                <w:color w:val="auto"/>
              </w:rPr>
            </w:pPr>
          </w:p>
        </w:tc>
      </w:tr>
      <w:tr>
        <w:trPr>
          <w:trHeight w:val="142"/>
        </w:trPr>
        <w:tc>
          <w:tcPr>
            <w:tcW w:w="8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share buyback</w:t>
            </w:r>
          </w:p>
        </w:tc>
        <w:tc>
          <w:tcPr>
            <w:tcW w:w="92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35"/>
        </w:trPr>
        <w:tc>
          <w:tcPr>
            <w:tcW w:w="802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9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0" w:type="dxa"/>
            <w:vAlign w:val="bottom"/>
          </w:tcPr>
          <w:p>
            <w:pPr>
              <w:spacing w:after="0"/>
              <w:rPr>
                <w:sz w:val="1"/>
                <w:szCs w:val="1"/>
                <w:color w:val="auto"/>
              </w:rPr>
            </w:pPr>
          </w:p>
        </w:tc>
      </w:tr>
      <w:tr>
        <w:trPr>
          <w:trHeight w:val="88"/>
        </w:trPr>
        <w:tc>
          <w:tcPr>
            <w:tcW w:w="802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Effect of exchange rate changes on cash and cash equivalents and</w:t>
            </w:r>
          </w:p>
        </w:tc>
        <w:tc>
          <w:tcPr>
            <w:tcW w:w="920" w:type="dxa"/>
            <w:vAlign w:val="bottom"/>
          </w:tcPr>
          <w:p>
            <w:pPr>
              <w:spacing w:after="0"/>
              <w:rPr>
                <w:sz w:val="7"/>
                <w:szCs w:val="7"/>
                <w:color w:val="auto"/>
              </w:rPr>
            </w:pPr>
          </w:p>
        </w:tc>
        <w:tc>
          <w:tcPr>
            <w:tcW w:w="66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4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restricted cash</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change in cash, cash equivalents and restricted cash</w:t>
            </w:r>
          </w:p>
        </w:tc>
        <w:tc>
          <w:tcPr>
            <w:tcW w:w="9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w:t>
            </w:r>
          </w:p>
        </w:tc>
        <w:tc>
          <w:tcPr>
            <w:tcW w:w="0" w:type="dxa"/>
            <w:vAlign w:val="bottom"/>
          </w:tcPr>
          <w:p>
            <w:pPr>
              <w:spacing w:after="0"/>
              <w:rPr>
                <w:sz w:val="1"/>
                <w:szCs w:val="1"/>
                <w:color w:val="auto"/>
              </w:rPr>
            </w:pPr>
          </w:p>
        </w:tc>
      </w:tr>
      <w:tr>
        <w:trPr>
          <w:trHeight w:val="1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the beginning of the period</w:t>
            </w:r>
          </w:p>
        </w:tc>
        <w:tc>
          <w:tcPr>
            <w:tcW w:w="9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685.7</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567.7</w:t>
            </w:r>
          </w:p>
        </w:tc>
        <w:tc>
          <w:tcPr>
            <w:tcW w:w="0" w:type="dxa"/>
            <w:vAlign w:val="bottom"/>
          </w:tcPr>
          <w:p>
            <w:pPr>
              <w:spacing w:after="0"/>
              <w:rPr>
                <w:sz w:val="1"/>
                <w:szCs w:val="1"/>
                <w:color w:val="auto"/>
              </w:rPr>
            </w:pPr>
          </w:p>
        </w:tc>
      </w:tr>
      <w:tr>
        <w:trPr>
          <w:trHeight w:val="1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at the end of the period</w:t>
            </w:r>
          </w:p>
        </w:tc>
        <w:tc>
          <w:tcPr>
            <w:tcW w:w="920" w:type="dxa"/>
            <w:vAlign w:val="bottom"/>
            <w:tcBorders>
              <w:bottom w:val="single" w:sz="8" w:color="auto"/>
            </w:tcBorders>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780.7</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5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CALCULATION OF FREE CASH FLOW</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0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w:t>
            </w:r>
          </w:p>
        </w:tc>
        <w:tc>
          <w:tcPr>
            <w:tcW w:w="940" w:type="dxa"/>
            <w:vAlign w:val="bottom"/>
            <w:tcBorders>
              <w:bottom w:val="single" w:sz="8" w:color="auto"/>
            </w:tcBorders>
          </w:tcPr>
          <w:p>
            <w:pPr>
              <w:spacing w:after="0"/>
              <w:rPr>
                <w:sz w:val="11"/>
                <w:szCs w:val="11"/>
                <w:color w:val="auto"/>
              </w:rPr>
            </w:pPr>
          </w:p>
        </w:tc>
      </w:tr>
      <w:tr>
        <w:trPr>
          <w:trHeight w:val="141"/>
        </w:trPr>
        <w:tc>
          <w:tcPr>
            <w:tcW w:w="80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94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18.8</w:t>
            </w:r>
          </w:p>
        </w:tc>
      </w:tr>
      <w:tr>
        <w:trPr>
          <w:trHeight w:val="142"/>
        </w:trPr>
        <w:tc>
          <w:tcPr>
            <w:tcW w:w="80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46"/>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Capitalization of internal use software costs</w:t>
            </w: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r>
      <w:tr>
        <w:trPr>
          <w:trHeight w:val="142"/>
        </w:trPr>
        <w:tc>
          <w:tcPr>
            <w:tcW w:w="8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Purchase of software for internal use</w:t>
            </w:r>
          </w:p>
        </w:tc>
        <w:tc>
          <w:tcPr>
            <w:tcW w:w="9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1"/>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Free Cash Flow</w:t>
            </w:r>
          </w:p>
        </w:tc>
        <w:tc>
          <w:tcPr>
            <w:tcW w:w="94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r>
    </w:tbl>
    <w:p>
      <w:pPr>
        <w:sectPr>
          <w:pgSz w:w="11900" w:h="16838" w:orient="portrait"/>
          <w:cols w:equalWidth="0" w:num="1">
            <w:col w:w="11260"/>
          </w:cols>
          <w:pgMar w:left="300" w:top="989" w:right="339" w:bottom="1440" w:gutter="0" w:footer="0" w:header="0"/>
        </w:sectPr>
      </w:pPr>
    </w:p>
    <w:bookmarkStart w:id="9" w:name="page10"/>
    <w:bookmarkEnd w:id="9"/>
    <w:p>
      <w:pPr>
        <w:ind w:left="8"/>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172"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Adjusted EBITDA and Adjusted Net Income are non-GAAP financial measures and should not be construed as an alternative to net income as an indicator of operating performance, nor as an alternative to cash flow provided by operating activities as a measure of liquidity, or any other performance measure in each case as determined in accordance with GAAP.</w:t>
      </w:r>
    </w:p>
    <w:p>
      <w:pPr>
        <w:spacing w:after="0" w:line="129"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Our Credit Agreement defines Adjusted EBITDA as net income before (i) interest expense, (ii) interest income, (iii) provision for income taxes, (iv) depreciation and amortization expense, (v) impairment charges, (vi) stock-based compensation, (vii) contingent consideration, (viii) acquisition and related expenses, and (ix) certain other items. We calculate Adjusted EBITDA Margin as Adjusted EBITDA divided by revenues.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define Adjusted Net Income as net income before (i) impairment charges, and (ii) contingent consideration.</w:t>
      </w:r>
    </w:p>
    <w:p>
      <w:pPr>
        <w:spacing w:after="0" w:line="168"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Adjusted EBITDA, Adjusted EBITDA Margin and Adjusted Net Income as calculated herein may not be comparable to similarly titled measures reported by other companies within the industry and are not determined in accordance with GAAP. Our presentation of Adjusted EBITDA, Adjusted EBITDA Margin and Adjusted Net Income should not be construed as an inference that our future results will be unaffected by unusual or unexpected items.</w:t>
      </w:r>
    </w:p>
    <w:p>
      <w:pPr>
        <w:spacing w:after="0" w:line="1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RECONCILIATION OF NET INCOME TO ADJUSTED EBITDA</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a reconciliation of Adjusted EBITDA to net income, the closest GAAP financial measure:</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79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Three months ended March 31,</w:t>
            </w:r>
          </w:p>
        </w:tc>
        <w:tc>
          <w:tcPr>
            <w:tcW w:w="1000" w:type="dxa"/>
            <w:vAlign w:val="bottom"/>
            <w:tcBorders>
              <w:bottom w:val="single" w:sz="8" w:color="auto"/>
            </w:tcBorders>
          </w:tcPr>
          <w:p>
            <w:pPr>
              <w:spacing w:after="0"/>
              <w:rPr>
                <w:sz w:val="11"/>
                <w:szCs w:val="11"/>
                <w:color w:val="auto"/>
              </w:rPr>
            </w:pPr>
          </w:p>
        </w:tc>
      </w:tr>
      <w:tr>
        <w:trPr>
          <w:trHeight w:val="141"/>
        </w:trPr>
        <w:tc>
          <w:tcPr>
            <w:tcW w:w="79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6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980" w:type="dxa"/>
            <w:vAlign w:val="bottom"/>
            <w:shd w:val="clear" w:color="auto" w:fill="CCEEFF"/>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(57.5)</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30.6</w:t>
            </w:r>
          </w:p>
        </w:tc>
      </w:tr>
      <w:tr>
        <w:trPr>
          <w:trHeight w:val="142"/>
        </w:trPr>
        <w:tc>
          <w:tcPr>
            <w:tcW w:w="79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980" w:type="dxa"/>
            <w:vAlign w:val="bottom"/>
          </w:tcPr>
          <w:p>
            <w:pPr>
              <w:spacing w:after="0"/>
              <w:rPr>
                <w:sz w:val="12"/>
                <w:szCs w:val="12"/>
                <w:color w:val="auto"/>
              </w:rPr>
            </w:pP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10.5</w:t>
            </w:r>
          </w:p>
        </w:tc>
      </w:tr>
      <w:tr>
        <w:trPr>
          <w:trHeight w:val="146"/>
        </w:trPr>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 and other, net</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26.7</w:t>
            </w:r>
          </w:p>
        </w:tc>
      </w:tr>
      <w:tr>
        <w:trPr>
          <w:trHeight w:val="142"/>
        </w:trPr>
        <w:tc>
          <w:tcPr>
            <w:tcW w:w="7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44.9</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59.2</w:t>
            </w:r>
          </w:p>
        </w:tc>
      </w:tr>
      <w:tr>
        <w:trPr>
          <w:trHeight w:val="135"/>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127.0</w:t>
            </w:r>
          </w:p>
        </w:tc>
      </w:tr>
      <w:tr>
        <w:trPr>
          <w:trHeight w:val="144"/>
        </w:trPr>
        <w:tc>
          <w:tcPr>
            <w:tcW w:w="7920" w:type="dxa"/>
            <w:vAlign w:val="bottom"/>
          </w:tcPr>
          <w:p>
            <w:pPr>
              <w:ind w:left="160"/>
              <w:spacing w:after="0" w:line="144" w:lineRule="exact"/>
              <w:rPr>
                <w:sz w:val="20"/>
                <w:szCs w:val="20"/>
                <w:color w:val="auto"/>
              </w:rPr>
            </w:pPr>
            <w:r>
              <w:rPr>
                <w:rFonts w:ascii="Times New Roman" w:cs="Times New Roman" w:eastAsia="Times New Roman" w:hAnsi="Times New Roman"/>
                <w:sz w:val="11"/>
                <w:szCs w:val="11"/>
                <w:color w:val="auto"/>
              </w:rPr>
              <w:t>Stock-based compensation</w:t>
            </w:r>
            <w:r>
              <w:rPr>
                <w:rFonts w:ascii="Times New Roman" w:cs="Times New Roman" w:eastAsia="Times New Roman" w:hAnsi="Times New Roman"/>
                <w:sz w:val="14"/>
                <w:szCs w:val="14"/>
                <w:color w:val="auto"/>
                <w:vertAlign w:val="superscript"/>
              </w:rPr>
              <w:t>(1)</w:t>
            </w:r>
          </w:p>
        </w:tc>
        <w:tc>
          <w:tcPr>
            <w:tcW w:w="98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25.5</w:t>
            </w:r>
          </w:p>
        </w:tc>
      </w:tr>
      <w:tr>
        <w:trPr>
          <w:trHeight w:val="144"/>
        </w:trPr>
        <w:tc>
          <w:tcPr>
            <w:tcW w:w="7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Changes in estimated value of contingent consideration</w:t>
            </w: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6.9</w:t>
            </w:r>
          </w:p>
        </w:tc>
      </w:tr>
      <w:tr>
        <w:trPr>
          <w:trHeight w:val="144"/>
        </w:trPr>
        <w:tc>
          <w:tcPr>
            <w:tcW w:w="7920" w:type="dxa"/>
            <w:vAlign w:val="bottom"/>
          </w:tcPr>
          <w:p>
            <w:pPr>
              <w:ind w:left="160"/>
              <w:spacing w:after="0" w:line="144" w:lineRule="exact"/>
              <w:rPr>
                <w:sz w:val="20"/>
                <w:szCs w:val="20"/>
                <w:color w:val="auto"/>
              </w:rPr>
            </w:pPr>
            <w:r>
              <w:rPr>
                <w:rFonts w:ascii="Times New Roman" w:cs="Times New Roman" w:eastAsia="Times New Roman" w:hAnsi="Times New Roman"/>
                <w:sz w:val="11"/>
                <w:szCs w:val="11"/>
                <w:color w:val="auto"/>
              </w:rPr>
              <w:t>Acquisition and related expenses</w:t>
            </w:r>
            <w:r>
              <w:rPr>
                <w:rFonts w:ascii="Times New Roman" w:cs="Times New Roman" w:eastAsia="Times New Roman" w:hAnsi="Times New Roman"/>
                <w:sz w:val="14"/>
                <w:szCs w:val="14"/>
                <w:color w:val="auto"/>
                <w:vertAlign w:val="superscript"/>
              </w:rPr>
              <w:t>(2)</w:t>
            </w:r>
          </w:p>
        </w:tc>
        <w:tc>
          <w:tcPr>
            <w:tcW w:w="980" w:type="dxa"/>
            <w:vAlign w:val="bottom"/>
          </w:tcPr>
          <w:p>
            <w:pPr>
              <w:spacing w:after="0"/>
              <w:rPr>
                <w:sz w:val="12"/>
                <w:szCs w:val="12"/>
                <w:color w:val="auto"/>
              </w:rPr>
            </w:pPr>
          </w:p>
        </w:tc>
        <w:tc>
          <w:tcPr>
            <w:tcW w:w="6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6.5</w:t>
            </w:r>
          </w:p>
        </w:tc>
      </w:tr>
      <w:tr>
        <w:trPr>
          <w:trHeight w:val="144"/>
        </w:trPr>
        <w:tc>
          <w:tcPr>
            <w:tcW w:w="7920" w:type="dxa"/>
            <w:vAlign w:val="bottom"/>
            <w:shd w:val="clear" w:color="auto" w:fill="CCEEFF"/>
          </w:tcPr>
          <w:p>
            <w:pPr>
              <w:ind w:left="160"/>
              <w:spacing w:after="0" w:line="144" w:lineRule="exact"/>
              <w:rPr>
                <w:sz w:val="20"/>
                <w:szCs w:val="20"/>
                <w:color w:val="auto"/>
              </w:rPr>
            </w:pPr>
            <w:r>
              <w:rPr>
                <w:rFonts w:ascii="Times New Roman" w:cs="Times New Roman" w:eastAsia="Times New Roman" w:hAnsi="Times New Roman"/>
                <w:sz w:val="11"/>
                <w:szCs w:val="11"/>
                <w:color w:val="auto"/>
              </w:rPr>
              <w:t>Other items</w:t>
            </w:r>
            <w:r>
              <w:rPr>
                <w:rFonts w:ascii="Times New Roman" w:cs="Times New Roman" w:eastAsia="Times New Roman" w:hAnsi="Times New Roman"/>
                <w:sz w:val="14"/>
                <w:szCs w:val="14"/>
                <w:color w:val="auto"/>
                <w:vertAlign w:val="superscript"/>
              </w:rPr>
              <w:t>(3)</w:t>
            </w:r>
          </w:p>
        </w:tc>
        <w:tc>
          <w:tcPr>
            <w:tcW w:w="9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w:t>
            </w:r>
          </w:p>
        </w:tc>
      </w:tr>
      <w:tr>
        <w:trPr>
          <w:trHeight w:val="149"/>
        </w:trPr>
        <w:tc>
          <w:tcPr>
            <w:tcW w:w="7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980" w:type="dxa"/>
            <w:vAlign w:val="bottom"/>
            <w:tcBorders>
              <w:bottom w:val="single" w:sz="8" w:color="auto"/>
            </w:tcBorders>
          </w:tcPr>
          <w:p>
            <w:pPr>
              <w:jc w:val="right"/>
              <w:ind w:right="8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167.3</w:t>
            </w:r>
          </w:p>
        </w:tc>
      </w:tr>
      <w:tr>
        <w:trPr>
          <w:trHeight w:val="160"/>
        </w:trPr>
        <w:tc>
          <w:tcPr>
            <w:tcW w:w="7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margin</w:t>
            </w:r>
          </w:p>
        </w:tc>
        <w:tc>
          <w:tcPr>
            <w:tcW w:w="9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r>
      <w:tr>
        <w:trPr>
          <w:trHeight w:val="144"/>
        </w:trPr>
        <w:tc>
          <w:tcPr>
            <w:tcW w:w="7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Adjusted EBITDA margin</w:t>
            </w:r>
          </w:p>
        </w:tc>
        <w:tc>
          <w:tcPr>
            <w:tcW w:w="9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16.8 %</w:t>
            </w:r>
          </w:p>
        </w:tc>
        <w:tc>
          <w:tcPr>
            <w:tcW w:w="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23.7 %</w:t>
            </w:r>
          </w:p>
        </w:tc>
      </w:tr>
      <w:tr>
        <w:trPr>
          <w:trHeight w:val="20"/>
        </w:trPr>
        <w:tc>
          <w:tcPr>
            <w:tcW w:w="7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w:t>
      </w:r>
    </w:p>
    <w:p>
      <w:pPr>
        <w:spacing w:after="0" w:line="139" w:lineRule="exact"/>
        <w:rPr>
          <w:sz w:val="20"/>
          <w:szCs w:val="20"/>
          <w:color w:val="auto"/>
        </w:rPr>
      </w:pPr>
    </w:p>
    <w:p>
      <w:pPr>
        <w:ind w:left="168" w:hanging="168"/>
        <w:spacing w:after="0"/>
        <w:tabs>
          <w:tab w:leader="none" w:pos="168"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Reflects stock-based compensation expense related to the issuance of equity awards to our employees and Directors.</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costs incurred to evaluate and pursue acquisition activities as well as costs incurred by the Company in connection with the evaluation of strategic alternatives.</w:t>
      </w:r>
    </w:p>
    <w:p>
      <w:pPr>
        <w:spacing w:after="0" w:line="1" w:lineRule="exact"/>
        <w:rPr>
          <w:rFonts w:ascii="Times New Roman" w:cs="Times New Roman" w:eastAsia="Times New Roman" w:hAnsi="Times New Roman"/>
          <w:sz w:val="16"/>
          <w:szCs w:val="16"/>
          <w:color w:val="auto"/>
          <w:vertAlign w:val="superscript"/>
        </w:rPr>
      </w:pPr>
    </w:p>
    <w:p>
      <w:pPr>
        <w:ind w:left="208" w:hanging="208"/>
        <w:spacing w:after="0" w:line="186" w:lineRule="auto"/>
        <w:tabs>
          <w:tab w:leader="none" w:pos="208"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Amounts for the three months ended March 31, 2026 consists entirely of severance, and the amount for the three months ended March 31, 2025 consists primarily of $0.7 million of severance incurred by the Company.</w:t>
      </w:r>
    </w:p>
    <w:p>
      <w:pPr>
        <w:sectPr>
          <w:pgSz w:w="11900" w:h="16838" w:orient="portrait"/>
          <w:cols w:equalWidth="0" w:num="1">
            <w:col w:w="11308"/>
          </w:cols>
          <w:pgMar w:left="292" w:top="989"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NET INCOME TO ADJUSTED NET INCOME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sets forth a reconciliation of Adjusted Net Income to net income (loss), the closest GAAP financial measure: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0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6"/>
              </w:rPr>
              <w:t>Three months ended March 31,</w:t>
            </w:r>
          </w:p>
        </w:tc>
        <w:tc>
          <w:tcPr>
            <w:tcW w:w="940" w:type="dxa"/>
            <w:vAlign w:val="bottom"/>
            <w:tcBorders>
              <w:bottom w:val="single" w:sz="8" w:color="auto"/>
            </w:tcBorders>
          </w:tcPr>
          <w:p>
            <w:pPr>
              <w:spacing w:after="0"/>
              <w:rPr>
                <w:sz w:val="11"/>
                <w:szCs w:val="11"/>
                <w:color w:val="auto"/>
              </w:rPr>
            </w:pPr>
          </w:p>
        </w:tc>
      </w:tr>
      <w:tr>
        <w:trPr>
          <w:trHeight w:val="141"/>
        </w:trPr>
        <w:tc>
          <w:tcPr>
            <w:tcW w:w="80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34"/>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94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center"/>
              <w:ind w:left="287"/>
              <w:spacing w:after="0"/>
              <w:rPr>
                <w:sz w:val="20"/>
                <w:szCs w:val="20"/>
                <w:color w:val="auto"/>
              </w:rPr>
            </w:pPr>
            <w:r>
              <w:rPr>
                <w:rFonts w:ascii="Times New Roman" w:cs="Times New Roman" w:eastAsia="Times New Roman" w:hAnsi="Times New Roman"/>
                <w:sz w:val="11"/>
                <w:szCs w:val="11"/>
                <w:color w:val="auto"/>
                <w:w w:val="97"/>
              </w:rPr>
              <w:t>(57.5)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w:t>
            </w:r>
          </w:p>
        </w:tc>
      </w:tr>
      <w:tr>
        <w:trPr>
          <w:trHeight w:val="142"/>
        </w:trPr>
        <w:tc>
          <w:tcPr>
            <w:tcW w:w="80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Changes in estimated value of contingent consideration</w:t>
            </w:r>
          </w:p>
        </w:tc>
        <w:tc>
          <w:tcPr>
            <w:tcW w:w="940" w:type="dxa"/>
            <w:vAlign w:val="bottom"/>
          </w:tcPr>
          <w:p>
            <w:pPr>
              <w:spacing w:after="0"/>
              <w:rPr>
                <w:sz w:val="12"/>
                <w:szCs w:val="12"/>
                <w:color w:val="auto"/>
              </w:rPr>
            </w:pPr>
          </w:p>
        </w:tc>
        <w:tc>
          <w:tcPr>
            <w:tcW w:w="640" w:type="dxa"/>
            <w:vAlign w:val="bottom"/>
          </w:tcPr>
          <w:p>
            <w:pPr>
              <w:jc w:val="center"/>
              <w:ind w:left="307"/>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r>
      <w:tr>
        <w:trPr>
          <w:trHeight w:val="144"/>
        </w:trPr>
        <w:tc>
          <w:tcPr>
            <w:tcW w:w="8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Income tax impact of adjustments</w:t>
            </w:r>
          </w:p>
        </w:tc>
        <w:tc>
          <w:tcPr>
            <w:tcW w:w="9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center"/>
              <w:ind w:left="287"/>
              <w:spacing w:after="0"/>
              <w:rPr>
                <w:sz w:val="20"/>
                <w:szCs w:val="20"/>
                <w:color w:val="auto"/>
              </w:rPr>
            </w:pPr>
            <w:r>
              <w:rPr>
                <w:rFonts w:ascii="Times New Roman" w:cs="Times New Roman" w:eastAsia="Times New Roman" w:hAnsi="Times New Roman"/>
                <w:sz w:val="11"/>
                <w:szCs w:val="11"/>
                <w:color w:val="auto"/>
                <w:w w:val="97"/>
              </w:rPr>
              <w:t>(23.9)</w:t>
            </w:r>
          </w:p>
        </w:tc>
        <w:tc>
          <w:tcPr>
            <w:tcW w:w="8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35"/>
        </w:trPr>
        <w:tc>
          <w:tcPr>
            <w:tcW w:w="80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Adjusted Net Income</w:t>
            </w:r>
          </w:p>
        </w:tc>
        <w:tc>
          <w:tcPr>
            <w:tcW w:w="94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center"/>
              <w:ind w:left="307"/>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tcPr>
          <w:p>
            <w:pPr>
              <w:spacing w:after="0"/>
              <w:rPr>
                <w:sz w:val="11"/>
                <w:szCs w:val="11"/>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w:t>
            </w:r>
          </w:p>
        </w:tc>
      </w:tr>
      <w:tr>
        <w:trPr>
          <w:trHeight w:val="20"/>
        </w:trPr>
        <w:tc>
          <w:tcPr>
            <w:tcW w:w="8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IR@playtika.com</w:t>
      </w:r>
    </w:p>
    <w:p>
      <w:pPr>
        <w:sectPr>
          <w:pgSz w:w="11900" w:h="16838" w:orient="portrait"/>
          <w:cols w:equalWidth="0" w:num="1">
            <w:col w:w="11300"/>
          </w:cols>
          <w:pgMar w:left="300" w:top="989" w:right="299" w:bottom="1440"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2026-05-08T05:03:11Z</dcterms:created>
  <dcterms:modified xsi:type="dcterms:W3CDTF">2026-05-08T05:03:11Z</dcterms:modified>
</cp:coreProperties>
</file>